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38" w:rsidRPr="00A00785" w:rsidRDefault="00815638" w:rsidP="00A00785">
      <w:pPr>
        <w:spacing w:after="0" w:line="276" w:lineRule="auto"/>
        <w:jc w:val="both"/>
        <w:rPr>
          <w:rFonts w:ascii="Palatino Linotype" w:hAnsi="Palatino Linotype"/>
          <w:b/>
          <w:sz w:val="23"/>
          <w:szCs w:val="23"/>
        </w:rPr>
      </w:pPr>
      <w:r w:rsidRPr="00A00785">
        <w:rPr>
          <w:rFonts w:ascii="Palatino Linotype" w:hAnsi="Palatino Linotype"/>
          <w:b/>
          <w:sz w:val="23"/>
          <w:szCs w:val="23"/>
        </w:rPr>
        <w:t xml:space="preserve">VOTO PARTICULAR QUE FORMULA LA COMISIONADA PRESIDENTA ZULEMA MARTÍNEZ SÁNCHEZ, EN RELACIÓN CON LA RESOLUCIÓN DICTADA POR EL PLENO DEL INSTITUTO DE TRANSPARENCIA, ACCESO A LA INFORMACIÓN PÚBLICA Y PROTECCIÓN DE DATOS PERSONALES DEL ESTADO DE MÉXICO Y MUNICIPIOS, EN LA TRIGÉSIMA </w:t>
      </w:r>
      <w:r w:rsidR="0023513C" w:rsidRPr="00A00785">
        <w:rPr>
          <w:rFonts w:ascii="Palatino Linotype" w:hAnsi="Palatino Linotype"/>
          <w:b/>
          <w:sz w:val="23"/>
          <w:szCs w:val="23"/>
        </w:rPr>
        <w:t>SEXTA</w:t>
      </w:r>
      <w:r w:rsidRPr="00A00785">
        <w:rPr>
          <w:rFonts w:ascii="Palatino Linotype" w:hAnsi="Palatino Linotype"/>
          <w:b/>
          <w:sz w:val="23"/>
          <w:szCs w:val="23"/>
        </w:rPr>
        <w:t xml:space="preserve"> SESIÓN ORDINARIA DEL </w:t>
      </w:r>
      <w:r w:rsidR="00045CE5">
        <w:rPr>
          <w:rFonts w:ascii="Palatino Linotype" w:hAnsi="Palatino Linotype"/>
          <w:b/>
          <w:sz w:val="23"/>
          <w:szCs w:val="23"/>
        </w:rPr>
        <w:t>TRES</w:t>
      </w:r>
      <w:r w:rsidRPr="00A00785">
        <w:rPr>
          <w:rFonts w:ascii="Palatino Linotype" w:hAnsi="Palatino Linotype"/>
          <w:b/>
          <w:sz w:val="23"/>
          <w:szCs w:val="23"/>
        </w:rPr>
        <w:t xml:space="preserve"> DE </w:t>
      </w:r>
      <w:r w:rsidR="0023513C" w:rsidRPr="00A00785">
        <w:rPr>
          <w:rFonts w:ascii="Palatino Linotype" w:hAnsi="Palatino Linotype"/>
          <w:b/>
          <w:sz w:val="23"/>
          <w:szCs w:val="23"/>
        </w:rPr>
        <w:t>OCTU</w:t>
      </w:r>
      <w:r w:rsidRPr="00A00785">
        <w:rPr>
          <w:rFonts w:ascii="Palatino Linotype" w:hAnsi="Palatino Linotype"/>
          <w:b/>
          <w:sz w:val="23"/>
          <w:szCs w:val="23"/>
        </w:rPr>
        <w:t xml:space="preserve">BRE DE DOS MIL DIECIOCHO, EN EL RECURSO DE REVISIÓN </w:t>
      </w:r>
      <w:r w:rsidR="0023513C" w:rsidRPr="00A00785">
        <w:rPr>
          <w:rFonts w:ascii="Palatino Linotype" w:hAnsi="Palatino Linotype"/>
          <w:b/>
          <w:sz w:val="23"/>
          <w:szCs w:val="23"/>
        </w:rPr>
        <w:t>02769</w:t>
      </w:r>
      <w:r w:rsidRPr="00A00785">
        <w:rPr>
          <w:rFonts w:ascii="Palatino Linotype" w:hAnsi="Palatino Linotype"/>
          <w:b/>
          <w:sz w:val="23"/>
          <w:szCs w:val="23"/>
        </w:rPr>
        <w:t>/INFOEM/IP/RR/2018.</w:t>
      </w:r>
    </w:p>
    <w:p w:rsidR="00815638" w:rsidRPr="00A00785" w:rsidRDefault="00815638" w:rsidP="00A00785">
      <w:pPr>
        <w:spacing w:after="0" w:line="276" w:lineRule="auto"/>
        <w:jc w:val="both"/>
        <w:rPr>
          <w:rFonts w:ascii="Palatino Linotype" w:hAnsi="Palatino Linotype"/>
          <w:b/>
          <w:sz w:val="23"/>
          <w:szCs w:val="23"/>
        </w:rPr>
      </w:pPr>
    </w:p>
    <w:p w:rsidR="00815638" w:rsidRPr="00A00785" w:rsidRDefault="00815638" w:rsidP="00A00785">
      <w:pPr>
        <w:spacing w:after="0" w:line="276" w:lineRule="auto"/>
        <w:jc w:val="both"/>
        <w:rPr>
          <w:rFonts w:ascii="Palatino Linotype" w:hAnsi="Palatino Linotype"/>
          <w:sz w:val="23"/>
          <w:szCs w:val="23"/>
        </w:rPr>
      </w:pPr>
      <w:r w:rsidRPr="00A00785">
        <w:rPr>
          <w:rFonts w:ascii="Palatino Linotype" w:hAnsi="Palatino Linotype"/>
          <w:sz w:val="23"/>
          <w:szCs w:val="23"/>
        </w:rPr>
        <w:t>Con fundamento en lo dispuesto por el artículo 14</w:t>
      </w:r>
      <w:r w:rsidR="0023513C" w:rsidRPr="00A00785">
        <w:rPr>
          <w:rFonts w:ascii="Palatino Linotype" w:hAnsi="Palatino Linotype"/>
          <w:sz w:val="23"/>
          <w:szCs w:val="23"/>
        </w:rPr>
        <w:t>,</w:t>
      </w:r>
      <w:r w:rsidRPr="00A00785">
        <w:rPr>
          <w:rFonts w:ascii="Palatino Linotype" w:hAnsi="Palatino Linotype"/>
          <w:sz w:val="23"/>
          <w:szCs w:val="23"/>
        </w:rPr>
        <w:t xml:space="preserve"> fracción XI</w:t>
      </w:r>
      <w:r w:rsidR="0023513C" w:rsidRPr="00A00785">
        <w:rPr>
          <w:rFonts w:ascii="Palatino Linotype" w:hAnsi="Palatino Linotype"/>
          <w:sz w:val="23"/>
          <w:szCs w:val="23"/>
        </w:rPr>
        <w:t>,</w:t>
      </w:r>
      <w:r w:rsidRPr="00A00785">
        <w:rPr>
          <w:rFonts w:ascii="Palatino Linotype" w:hAnsi="Palatino Linotype"/>
          <w:sz w:val="23"/>
          <w:szCs w:val="23"/>
        </w:rPr>
        <w:t xml:space="preserve"> del Reglamento Interior del Instituto de Transparencia, Acceso a la Información Pública y Protección de Datos Personales del Estado de México y Municip</w:t>
      </w:r>
      <w:r w:rsidR="007A77C3">
        <w:rPr>
          <w:rFonts w:ascii="Palatino Linotype" w:hAnsi="Palatino Linotype"/>
          <w:sz w:val="23"/>
          <w:szCs w:val="23"/>
        </w:rPr>
        <w:t xml:space="preserve">ios, la Comisionada Presidenta </w:t>
      </w:r>
      <w:r w:rsidRPr="00A00785">
        <w:rPr>
          <w:rFonts w:ascii="Palatino Linotype" w:hAnsi="Palatino Linotype"/>
          <w:sz w:val="23"/>
          <w:szCs w:val="23"/>
        </w:rPr>
        <w:t xml:space="preserve">Zulema Martínez Sánchez emite </w:t>
      </w:r>
      <w:r w:rsidRPr="00A00785">
        <w:rPr>
          <w:rFonts w:ascii="Palatino Linotype" w:hAnsi="Palatino Linotype"/>
          <w:b/>
          <w:sz w:val="23"/>
          <w:szCs w:val="23"/>
        </w:rPr>
        <w:t>VOTO PARTICULAR</w:t>
      </w:r>
      <w:r w:rsidRPr="00A00785">
        <w:rPr>
          <w:rFonts w:ascii="Palatino Linotype" w:hAnsi="Palatino Linotype"/>
          <w:sz w:val="23"/>
          <w:szCs w:val="23"/>
        </w:rPr>
        <w:t xml:space="preserve"> respecto a la resolución dictada en </w:t>
      </w:r>
      <w:r w:rsidR="007A77C3">
        <w:rPr>
          <w:rFonts w:ascii="Palatino Linotype" w:hAnsi="Palatino Linotype"/>
          <w:sz w:val="23"/>
          <w:szCs w:val="23"/>
        </w:rPr>
        <w:t>el</w:t>
      </w:r>
      <w:r w:rsidRPr="00A00785">
        <w:rPr>
          <w:rFonts w:ascii="Palatino Linotype" w:hAnsi="Palatino Linotype"/>
          <w:sz w:val="23"/>
          <w:szCs w:val="23"/>
        </w:rPr>
        <w:t xml:space="preserve"> recursos de revisión </w:t>
      </w:r>
      <w:r w:rsidRPr="00A00785">
        <w:rPr>
          <w:rFonts w:ascii="Palatino Linotype" w:hAnsi="Palatino Linotype"/>
          <w:b/>
          <w:sz w:val="23"/>
          <w:szCs w:val="23"/>
        </w:rPr>
        <w:t>0</w:t>
      </w:r>
      <w:r w:rsidR="0023513C" w:rsidRPr="00A00785">
        <w:rPr>
          <w:rFonts w:ascii="Palatino Linotype" w:hAnsi="Palatino Linotype"/>
          <w:b/>
          <w:sz w:val="23"/>
          <w:szCs w:val="23"/>
        </w:rPr>
        <w:t>276</w:t>
      </w:r>
      <w:r w:rsidRPr="00A00785">
        <w:rPr>
          <w:rFonts w:ascii="Palatino Linotype" w:hAnsi="Palatino Linotype"/>
          <w:b/>
          <w:sz w:val="23"/>
          <w:szCs w:val="23"/>
        </w:rPr>
        <w:t>9/INFOEM/IP/RR/2018</w:t>
      </w:r>
      <w:r w:rsidRPr="00A00785">
        <w:rPr>
          <w:rFonts w:ascii="Palatino Linotype" w:hAnsi="Palatino Linotype"/>
          <w:sz w:val="23"/>
          <w:szCs w:val="23"/>
        </w:rPr>
        <w:t xml:space="preserve">, pronunciada por el Pleno de este Instituto ante el proyecto presentado por el </w:t>
      </w:r>
      <w:r w:rsidRPr="00045CE5">
        <w:rPr>
          <w:rFonts w:ascii="Palatino Linotype" w:hAnsi="Palatino Linotype"/>
          <w:b/>
          <w:sz w:val="23"/>
          <w:szCs w:val="23"/>
        </w:rPr>
        <w:t>Comisionado Javier Martínez Cruz</w:t>
      </w:r>
      <w:r w:rsidRPr="00A00785">
        <w:rPr>
          <w:rFonts w:ascii="Palatino Linotype" w:hAnsi="Palatino Linotype"/>
          <w:sz w:val="23"/>
          <w:szCs w:val="23"/>
        </w:rPr>
        <w:t xml:space="preserve">, que es del tenor siguiente: </w:t>
      </w:r>
    </w:p>
    <w:p w:rsidR="00815638" w:rsidRPr="00A00785" w:rsidRDefault="00815638" w:rsidP="00A00785">
      <w:pPr>
        <w:spacing w:after="0" w:line="276" w:lineRule="auto"/>
        <w:jc w:val="both"/>
        <w:rPr>
          <w:rFonts w:ascii="Palatino Linotype" w:hAnsi="Palatino Linotype"/>
          <w:sz w:val="23"/>
          <w:szCs w:val="23"/>
        </w:rPr>
      </w:pPr>
    </w:p>
    <w:p w:rsidR="00815638" w:rsidRPr="00A00785" w:rsidRDefault="00815638" w:rsidP="00A00785">
      <w:pPr>
        <w:spacing w:after="0" w:line="276" w:lineRule="auto"/>
        <w:jc w:val="both"/>
        <w:rPr>
          <w:rFonts w:ascii="Palatino Linotype" w:hAnsi="Palatino Linotype"/>
          <w:sz w:val="23"/>
          <w:szCs w:val="23"/>
        </w:rPr>
      </w:pPr>
      <w:r w:rsidRPr="00A00785">
        <w:rPr>
          <w:rFonts w:ascii="Palatino Linotype" w:hAnsi="Palatino Linotype"/>
          <w:sz w:val="23"/>
          <w:szCs w:val="23"/>
        </w:rPr>
        <w:t xml:space="preserve">En primer término debemos referir que se comparte el sentido en general de la resolución presentada por el Comisionado Ponente, no obstante se hará mención de un punto que en opinión de quien suscribe, se debió tomar en consideración al momento de resolver el recurso que nos ocupa. </w:t>
      </w:r>
    </w:p>
    <w:p w:rsidR="00815638" w:rsidRPr="00A00785" w:rsidRDefault="00815638" w:rsidP="00A00785">
      <w:pPr>
        <w:spacing w:after="0" w:line="276" w:lineRule="auto"/>
        <w:jc w:val="both"/>
        <w:rPr>
          <w:rFonts w:ascii="Palatino Linotype" w:hAnsi="Palatino Linotype"/>
          <w:sz w:val="23"/>
          <w:szCs w:val="23"/>
        </w:rPr>
      </w:pPr>
    </w:p>
    <w:p w:rsidR="00815638" w:rsidRPr="00A00785" w:rsidRDefault="00815638" w:rsidP="00A00785">
      <w:pPr>
        <w:spacing w:after="0" w:line="276" w:lineRule="auto"/>
        <w:jc w:val="both"/>
        <w:rPr>
          <w:rFonts w:ascii="Palatino Linotype" w:hAnsi="Palatino Linotype"/>
          <w:sz w:val="23"/>
          <w:szCs w:val="23"/>
        </w:rPr>
      </w:pPr>
      <w:r w:rsidRPr="00A00785">
        <w:rPr>
          <w:rFonts w:ascii="Palatino Linotype" w:hAnsi="Palatino Linotype"/>
          <w:sz w:val="23"/>
          <w:szCs w:val="23"/>
        </w:rPr>
        <w:t>Para tal fin, es necesario atender el punto de la solicitud, materia del presente voto, el cual consisten en lo siguiente:</w:t>
      </w:r>
    </w:p>
    <w:p w:rsidR="00815638" w:rsidRPr="00A00785" w:rsidRDefault="00815638" w:rsidP="00A00785">
      <w:pPr>
        <w:pStyle w:val="Encabezado"/>
        <w:spacing w:line="276" w:lineRule="auto"/>
        <w:ind w:left="851" w:right="851"/>
        <w:jc w:val="both"/>
        <w:rPr>
          <w:rFonts w:ascii="Palatino Linotype" w:eastAsia="Calibri" w:hAnsi="Palatino Linotype"/>
          <w:b/>
          <w:i/>
          <w:sz w:val="23"/>
          <w:szCs w:val="23"/>
          <w:lang w:val="es-MX" w:eastAsia="en-US"/>
        </w:rPr>
      </w:pPr>
    </w:p>
    <w:p w:rsidR="00815638" w:rsidRPr="00A00785" w:rsidRDefault="00815638" w:rsidP="00A00785">
      <w:pPr>
        <w:pStyle w:val="Encabezado"/>
        <w:spacing w:line="276" w:lineRule="auto"/>
        <w:ind w:left="851" w:right="851"/>
        <w:jc w:val="both"/>
        <w:rPr>
          <w:rFonts w:ascii="Palatino Linotype" w:eastAsia="Calibri" w:hAnsi="Palatino Linotype"/>
          <w:b/>
          <w:i/>
          <w:sz w:val="23"/>
          <w:szCs w:val="23"/>
          <w:lang w:val="es-MX" w:eastAsia="en-US"/>
        </w:rPr>
      </w:pPr>
    </w:p>
    <w:p w:rsidR="00815638" w:rsidRPr="00A00785" w:rsidRDefault="0023513C" w:rsidP="00A00785">
      <w:pPr>
        <w:pStyle w:val="Encabezado"/>
        <w:spacing w:line="276" w:lineRule="auto"/>
        <w:ind w:left="851" w:right="851"/>
        <w:jc w:val="both"/>
        <w:rPr>
          <w:rFonts w:ascii="Palatino Linotype" w:eastAsia="Calibri" w:hAnsi="Palatino Linotype"/>
          <w:i/>
          <w:sz w:val="23"/>
          <w:szCs w:val="23"/>
          <w:lang w:val="es-MX" w:eastAsia="en-US"/>
        </w:rPr>
      </w:pPr>
      <w:r w:rsidRPr="00A00785">
        <w:rPr>
          <w:rFonts w:ascii="Palatino Linotype" w:eastAsia="Calibri" w:hAnsi="Palatino Linotype"/>
          <w:b/>
          <w:i/>
          <w:sz w:val="23"/>
          <w:szCs w:val="23"/>
          <w:lang w:val="es-MX" w:eastAsia="en-US"/>
        </w:rPr>
        <w:t>“</w:t>
      </w:r>
      <w:r w:rsidRPr="00A00785">
        <w:rPr>
          <w:rFonts w:ascii="Palatino Linotype" w:eastAsia="Calibri" w:hAnsi="Palatino Linotype"/>
          <w:i/>
          <w:sz w:val="23"/>
          <w:szCs w:val="23"/>
          <w:lang w:val="es-MX" w:eastAsia="en-US"/>
        </w:rPr>
        <w:t xml:space="preserve">COPIA CERTIFICADA DEL OFICIO D.D.U./OF.No.2380/99, DE FECHA 31 DE AGOSTO DE 1999, FIRMADO POR EL DIRECTOR DE DESARROLLO URBANO DEL AYUNTAMIENTO DE TOLUCA MÉXICO, EN EL QUE SE INCLUYE EL NÚMERO DE LOTES DEL </w:t>
      </w:r>
      <w:r w:rsidRPr="00A00785">
        <w:rPr>
          <w:rFonts w:ascii="Palatino Linotype" w:eastAsia="Calibri" w:hAnsi="Palatino Linotype"/>
          <w:i/>
          <w:sz w:val="23"/>
          <w:szCs w:val="23"/>
          <w:lang w:val="es-MX" w:eastAsia="en-US"/>
        </w:rPr>
        <w:lastRenderedPageBreak/>
        <w:t xml:space="preserve">CONJUNTO URBANO RESIDENCIAL </w:t>
      </w:r>
      <w:r w:rsidR="00D74067">
        <w:rPr>
          <w:rFonts w:ascii="Palatino Linotype" w:eastAsia="Calibri" w:hAnsi="Palatino Linotype"/>
          <w:i/>
          <w:sz w:val="23"/>
          <w:szCs w:val="23"/>
          <w:lang w:val="es-MX" w:eastAsia="en-US"/>
        </w:rPr>
        <w:t>XXXXXXXXXXXX</w:t>
      </w:r>
      <w:r w:rsidRPr="00A00785">
        <w:rPr>
          <w:rFonts w:ascii="Palatino Linotype" w:eastAsia="Calibri" w:hAnsi="Palatino Linotype"/>
          <w:i/>
          <w:sz w:val="23"/>
          <w:szCs w:val="23"/>
          <w:lang w:val="es-MX" w:eastAsia="en-US"/>
        </w:rPr>
        <w:t xml:space="preserve"> DE ACUERDO A LA NOMENCLATURA AUTORIZADA, EN LA QUE SE HACE REFERENCIA A LA CLAVE CATASTRAL DE CADA UNO DE ELLOS. DEL OFICIO ANTERIOR COPIA CERTIFICADA DE LAS HOJAS EN LA QUE SE INCLUYA LOS SIGUIENTES LOTES: 1.-RINCONADA DE CASA GRANDE, NUMERO OFICIAL 270-</w:t>
      </w:r>
      <w:r w:rsidR="00D74067">
        <w:rPr>
          <w:rFonts w:ascii="Palatino Linotype" w:eastAsia="Calibri" w:hAnsi="Palatino Linotype"/>
          <w:i/>
          <w:sz w:val="23"/>
          <w:szCs w:val="23"/>
          <w:lang w:val="es-MX" w:eastAsia="en-US"/>
        </w:rPr>
        <w:t>XX</w:t>
      </w:r>
      <w:r w:rsidRPr="00A00785">
        <w:rPr>
          <w:rFonts w:ascii="Palatino Linotype" w:eastAsia="Calibri" w:hAnsi="Palatino Linotype"/>
          <w:i/>
          <w:sz w:val="23"/>
          <w:szCs w:val="23"/>
          <w:lang w:val="es-MX" w:eastAsia="en-US"/>
        </w:rPr>
        <w:t xml:space="preserve">,MANZANA </w:t>
      </w:r>
      <w:r w:rsidR="00D74067">
        <w:rPr>
          <w:rFonts w:ascii="Palatino Linotype" w:eastAsia="Calibri" w:hAnsi="Palatino Linotype"/>
          <w:i/>
          <w:sz w:val="23"/>
          <w:szCs w:val="23"/>
          <w:lang w:val="es-MX" w:eastAsia="en-US"/>
        </w:rPr>
        <w:t>XXXXX</w:t>
      </w:r>
      <w:r w:rsidRPr="00A00785">
        <w:rPr>
          <w:rFonts w:ascii="Palatino Linotype" w:eastAsia="Calibri" w:hAnsi="Palatino Linotype"/>
          <w:i/>
          <w:sz w:val="23"/>
          <w:szCs w:val="23"/>
          <w:lang w:val="es-MX" w:eastAsia="en-US"/>
        </w:rPr>
        <w:t xml:space="preserve">, LOTE </w:t>
      </w:r>
      <w:r w:rsidR="00D74067">
        <w:rPr>
          <w:rFonts w:ascii="Palatino Linotype" w:eastAsia="Calibri" w:hAnsi="Palatino Linotype"/>
          <w:i/>
          <w:sz w:val="23"/>
          <w:szCs w:val="23"/>
          <w:lang w:val="es-MX" w:eastAsia="en-US"/>
        </w:rPr>
        <w:t>XXXX</w:t>
      </w:r>
      <w:r w:rsidRPr="00A00785">
        <w:rPr>
          <w:rFonts w:ascii="Palatino Linotype" w:eastAsia="Calibri" w:hAnsi="Palatino Linotype"/>
          <w:i/>
          <w:sz w:val="23"/>
          <w:szCs w:val="23"/>
          <w:lang w:val="es-MX" w:eastAsia="en-US"/>
        </w:rPr>
        <w:t xml:space="preserve">, CLAVE CATASTRAL </w:t>
      </w:r>
      <w:r w:rsidR="00D74067">
        <w:rPr>
          <w:rFonts w:ascii="Palatino Linotype" w:eastAsia="Calibri" w:hAnsi="Palatino Linotype"/>
          <w:i/>
          <w:sz w:val="23"/>
          <w:szCs w:val="23"/>
          <w:lang w:val="es-MX" w:eastAsia="en-US"/>
        </w:rPr>
        <w:t>XXXXXXX</w:t>
      </w:r>
      <w:r w:rsidRPr="00A00785">
        <w:rPr>
          <w:rFonts w:ascii="Palatino Linotype" w:eastAsia="Calibri" w:hAnsi="Palatino Linotype"/>
          <w:i/>
          <w:sz w:val="23"/>
          <w:szCs w:val="23"/>
          <w:lang w:val="es-MX" w:eastAsia="en-US"/>
        </w:rPr>
        <w:t xml:space="preserve"> 2,.CIRCUITO </w:t>
      </w:r>
      <w:r w:rsidR="00D74067">
        <w:rPr>
          <w:rFonts w:ascii="Palatino Linotype" w:eastAsia="Calibri" w:hAnsi="Palatino Linotype"/>
          <w:i/>
          <w:sz w:val="23"/>
          <w:szCs w:val="23"/>
          <w:lang w:val="es-MX" w:eastAsia="en-US"/>
        </w:rPr>
        <w:t>XXXXXX</w:t>
      </w:r>
      <w:r w:rsidRPr="00A00785">
        <w:rPr>
          <w:rFonts w:ascii="Palatino Linotype" w:eastAsia="Calibri" w:hAnsi="Palatino Linotype"/>
          <w:i/>
          <w:sz w:val="23"/>
          <w:szCs w:val="23"/>
          <w:lang w:val="es-MX" w:eastAsia="en-US"/>
        </w:rPr>
        <w:t xml:space="preserve"> NÚMERO OFICIAL </w:t>
      </w:r>
      <w:r w:rsidR="00D74067">
        <w:rPr>
          <w:rFonts w:ascii="Palatino Linotype" w:eastAsia="Calibri" w:hAnsi="Palatino Linotype"/>
          <w:i/>
          <w:sz w:val="23"/>
          <w:szCs w:val="23"/>
          <w:lang w:val="es-MX" w:eastAsia="en-US"/>
        </w:rPr>
        <w:t>XXXX</w:t>
      </w:r>
      <w:r w:rsidRPr="00A00785">
        <w:rPr>
          <w:rFonts w:ascii="Palatino Linotype" w:eastAsia="Calibri" w:hAnsi="Palatino Linotype"/>
          <w:i/>
          <w:sz w:val="23"/>
          <w:szCs w:val="23"/>
          <w:lang w:val="es-MX" w:eastAsia="en-US"/>
        </w:rPr>
        <w:t xml:space="preserve">,MANZANA </w:t>
      </w:r>
      <w:r w:rsidR="00D74067">
        <w:rPr>
          <w:rFonts w:ascii="Palatino Linotype" w:eastAsia="Calibri" w:hAnsi="Palatino Linotype"/>
          <w:i/>
          <w:sz w:val="23"/>
          <w:szCs w:val="23"/>
          <w:lang w:val="es-MX" w:eastAsia="en-US"/>
        </w:rPr>
        <w:t>X</w:t>
      </w:r>
      <w:r w:rsidRPr="00A00785">
        <w:rPr>
          <w:rFonts w:ascii="Palatino Linotype" w:eastAsia="Calibri" w:hAnsi="Palatino Linotype"/>
          <w:i/>
          <w:sz w:val="23"/>
          <w:szCs w:val="23"/>
          <w:lang w:val="es-MX" w:eastAsia="en-US"/>
        </w:rPr>
        <w:t xml:space="preserve">, LOTE </w:t>
      </w:r>
      <w:r w:rsidR="00D74067">
        <w:rPr>
          <w:rFonts w:ascii="Palatino Linotype" w:eastAsia="Calibri" w:hAnsi="Palatino Linotype"/>
          <w:i/>
          <w:sz w:val="23"/>
          <w:szCs w:val="23"/>
          <w:lang w:val="es-MX" w:eastAsia="en-US"/>
        </w:rPr>
        <w:t>XXX</w:t>
      </w:r>
      <w:r w:rsidRPr="00A00785">
        <w:rPr>
          <w:rFonts w:ascii="Palatino Linotype" w:eastAsia="Calibri" w:hAnsi="Palatino Linotype"/>
          <w:i/>
          <w:sz w:val="23"/>
          <w:szCs w:val="23"/>
          <w:lang w:val="es-MX" w:eastAsia="en-US"/>
        </w:rPr>
        <w:t xml:space="preserve">, CLAVE CATASTRAL </w:t>
      </w:r>
      <w:r w:rsidR="00D74067">
        <w:rPr>
          <w:rFonts w:ascii="Palatino Linotype" w:eastAsia="Calibri" w:hAnsi="Palatino Linotype"/>
          <w:i/>
          <w:sz w:val="23"/>
          <w:szCs w:val="23"/>
          <w:lang w:val="es-MX" w:eastAsia="en-US"/>
        </w:rPr>
        <w:t>XXXXXXX</w:t>
      </w:r>
      <w:r w:rsidRPr="00A00785">
        <w:rPr>
          <w:rFonts w:ascii="Palatino Linotype" w:eastAsia="Calibri" w:hAnsi="Palatino Linotype"/>
          <w:i/>
          <w:sz w:val="23"/>
          <w:szCs w:val="23"/>
          <w:lang w:val="es-MX" w:eastAsia="en-US"/>
        </w:rPr>
        <w:t xml:space="preserve"> 3.-RINCONADA DE CAPORAL,NÚMERO OFICIAL </w:t>
      </w:r>
      <w:r w:rsidR="00D74067">
        <w:rPr>
          <w:rFonts w:ascii="Palatino Linotype" w:eastAsia="Calibri" w:hAnsi="Palatino Linotype"/>
          <w:i/>
          <w:sz w:val="23"/>
          <w:szCs w:val="23"/>
          <w:lang w:val="es-MX" w:eastAsia="en-US"/>
        </w:rPr>
        <w:t>XXXXX</w:t>
      </w:r>
      <w:r w:rsidRPr="00A00785">
        <w:rPr>
          <w:rFonts w:ascii="Palatino Linotype" w:eastAsia="Calibri" w:hAnsi="Palatino Linotype"/>
          <w:i/>
          <w:sz w:val="23"/>
          <w:szCs w:val="23"/>
          <w:lang w:val="es-MX" w:eastAsia="en-US"/>
        </w:rPr>
        <w:t xml:space="preserve">, MANZANA </w:t>
      </w:r>
      <w:r w:rsidR="00D74067">
        <w:rPr>
          <w:rFonts w:ascii="Palatino Linotype" w:eastAsia="Calibri" w:hAnsi="Palatino Linotype"/>
          <w:i/>
          <w:sz w:val="23"/>
          <w:szCs w:val="23"/>
          <w:lang w:val="es-MX" w:eastAsia="en-US"/>
        </w:rPr>
        <w:t>XXXXX</w:t>
      </w:r>
      <w:r w:rsidRPr="00A00785">
        <w:rPr>
          <w:rFonts w:ascii="Palatino Linotype" w:eastAsia="Calibri" w:hAnsi="Palatino Linotype"/>
          <w:i/>
          <w:sz w:val="23"/>
          <w:szCs w:val="23"/>
          <w:lang w:val="es-MX" w:eastAsia="en-US"/>
        </w:rPr>
        <w:t xml:space="preserve">,LOTE </w:t>
      </w:r>
      <w:r w:rsidR="00D74067">
        <w:rPr>
          <w:rFonts w:ascii="Palatino Linotype" w:eastAsia="Calibri" w:hAnsi="Palatino Linotype"/>
          <w:i/>
          <w:sz w:val="23"/>
          <w:szCs w:val="23"/>
          <w:lang w:val="es-MX" w:eastAsia="en-US"/>
        </w:rPr>
        <w:t>XXXX</w:t>
      </w:r>
      <w:r w:rsidRPr="00A00785">
        <w:rPr>
          <w:rFonts w:ascii="Palatino Linotype" w:eastAsia="Calibri" w:hAnsi="Palatino Linotype"/>
          <w:i/>
          <w:sz w:val="23"/>
          <w:szCs w:val="23"/>
          <w:lang w:val="es-MX" w:eastAsia="en-US"/>
        </w:rPr>
        <w:t xml:space="preserve">, CLAVE CATASTRAL </w:t>
      </w:r>
      <w:r w:rsidR="00D74067">
        <w:rPr>
          <w:rFonts w:ascii="Palatino Linotype" w:eastAsia="Calibri" w:hAnsi="Palatino Linotype"/>
          <w:i/>
          <w:sz w:val="23"/>
          <w:szCs w:val="23"/>
          <w:lang w:val="es-MX" w:eastAsia="en-US"/>
        </w:rPr>
        <w:t>XXXXXXXXXX</w:t>
      </w:r>
      <w:r w:rsidR="00815638" w:rsidRPr="00A00785">
        <w:rPr>
          <w:rFonts w:ascii="Palatino Linotype" w:eastAsia="Calibri" w:hAnsi="Palatino Linotype"/>
          <w:i/>
          <w:sz w:val="23"/>
          <w:szCs w:val="23"/>
          <w:lang w:val="es-MX" w:eastAsia="en-US"/>
        </w:rPr>
        <w:t>.</w:t>
      </w:r>
      <w:r w:rsidRPr="00A00785">
        <w:rPr>
          <w:rFonts w:ascii="Palatino Linotype" w:eastAsia="Calibri" w:hAnsi="Palatino Linotype"/>
          <w:i/>
          <w:sz w:val="23"/>
          <w:szCs w:val="23"/>
          <w:lang w:val="es-MX" w:eastAsia="en-US"/>
        </w:rPr>
        <w:t>” (Sic).</w:t>
      </w:r>
    </w:p>
    <w:p w:rsidR="00815638" w:rsidRPr="00A00785" w:rsidRDefault="00815638" w:rsidP="00A00785">
      <w:pPr>
        <w:spacing w:after="0" w:line="276" w:lineRule="auto"/>
        <w:ind w:left="567" w:right="423"/>
        <w:jc w:val="both"/>
        <w:rPr>
          <w:rFonts w:ascii="Palatino Linotype" w:hAnsi="Palatino Linotype"/>
          <w:i/>
          <w:sz w:val="23"/>
          <w:szCs w:val="23"/>
        </w:rPr>
      </w:pPr>
    </w:p>
    <w:p w:rsidR="00815638" w:rsidRPr="00A00785" w:rsidRDefault="00815638" w:rsidP="00A00785">
      <w:pPr>
        <w:spacing w:before="240" w:after="240" w:line="276" w:lineRule="auto"/>
        <w:jc w:val="both"/>
        <w:rPr>
          <w:rFonts w:ascii="Palatino Linotype" w:hAnsi="Palatino Linotype"/>
          <w:sz w:val="23"/>
          <w:szCs w:val="23"/>
        </w:rPr>
      </w:pPr>
      <w:r w:rsidRPr="00A00785">
        <w:rPr>
          <w:rFonts w:ascii="Palatino Linotype" w:hAnsi="Palatino Linotype"/>
          <w:sz w:val="23"/>
          <w:szCs w:val="23"/>
        </w:rPr>
        <w:t>Cabe señalar que por parte del Sujeto Obligado remitió respuesta en los siguientes términos:</w:t>
      </w:r>
    </w:p>
    <w:p w:rsidR="0023513C" w:rsidRPr="00A00785" w:rsidRDefault="0023513C" w:rsidP="00A00785">
      <w:pPr>
        <w:spacing w:line="276" w:lineRule="auto"/>
        <w:ind w:left="851" w:right="902"/>
        <w:jc w:val="both"/>
        <w:rPr>
          <w:rFonts w:ascii="Palatino Linotype" w:hAnsi="Palatino Linotype"/>
          <w:i/>
          <w:sz w:val="23"/>
          <w:szCs w:val="23"/>
        </w:rPr>
      </w:pPr>
      <w:r w:rsidRPr="00A00785">
        <w:rPr>
          <w:rFonts w:ascii="Palatino Linotype" w:hAnsi="Palatino Linotype"/>
          <w:i/>
          <w:sz w:val="23"/>
          <w:szCs w:val="23"/>
        </w:rPr>
        <w:t>“…</w:t>
      </w:r>
    </w:p>
    <w:p w:rsidR="0023513C" w:rsidRPr="00A00785" w:rsidRDefault="0023513C" w:rsidP="00A00785">
      <w:pPr>
        <w:spacing w:line="276" w:lineRule="auto"/>
        <w:ind w:left="851" w:right="902"/>
        <w:jc w:val="both"/>
        <w:rPr>
          <w:rFonts w:ascii="Palatino Linotype" w:hAnsi="Palatino Linotype"/>
          <w:i/>
          <w:sz w:val="23"/>
          <w:szCs w:val="23"/>
        </w:rPr>
      </w:pPr>
      <w:r w:rsidRPr="00A00785">
        <w:rPr>
          <w:rFonts w:ascii="Palatino Linotype" w:hAnsi="Palatino Linotype"/>
          <w:i/>
          <w:sz w:val="23"/>
          <w:szCs w:val="23"/>
        </w:rPr>
        <w:t>Con los datos proporcionados se realizó una búsqueda minuciosa en los archivos del Departamento  de Control y Seguimiento de Fraccionamientos, no localizándose antecedente del oficio referido, por lo anterior, no es posible tramitar la certificación solicitada.</w:t>
      </w:r>
    </w:p>
    <w:p w:rsidR="00815638" w:rsidRPr="00A00785" w:rsidRDefault="0023513C" w:rsidP="00A00785">
      <w:pPr>
        <w:spacing w:line="276" w:lineRule="auto"/>
        <w:ind w:left="851" w:right="902"/>
        <w:jc w:val="both"/>
        <w:rPr>
          <w:rFonts w:ascii="Palatino Linotype" w:hAnsi="Palatino Linotype"/>
          <w:i/>
          <w:sz w:val="23"/>
          <w:szCs w:val="23"/>
        </w:rPr>
      </w:pPr>
      <w:r w:rsidRPr="00A00785">
        <w:rPr>
          <w:rFonts w:ascii="Palatino Linotype" w:hAnsi="Palatino Linotype"/>
          <w:i/>
          <w:sz w:val="23"/>
          <w:szCs w:val="23"/>
        </w:rPr>
        <w:t>…” (Sic)</w:t>
      </w:r>
    </w:p>
    <w:p w:rsidR="00815638" w:rsidRPr="00A00785" w:rsidRDefault="00815638" w:rsidP="00A00785">
      <w:pPr>
        <w:spacing w:before="240" w:after="240" w:line="276" w:lineRule="auto"/>
        <w:rPr>
          <w:rFonts w:ascii="Palatino Linotype" w:hAnsi="Palatino Linotype"/>
          <w:sz w:val="23"/>
          <w:szCs w:val="23"/>
        </w:rPr>
      </w:pPr>
    </w:p>
    <w:p w:rsidR="00815638" w:rsidRPr="00A00785" w:rsidRDefault="00815638" w:rsidP="00A00785">
      <w:pPr>
        <w:spacing w:before="240" w:after="240" w:line="276" w:lineRule="auto"/>
        <w:jc w:val="both"/>
        <w:rPr>
          <w:rFonts w:ascii="Palatino Linotype" w:hAnsi="Palatino Linotype"/>
          <w:sz w:val="23"/>
          <w:szCs w:val="23"/>
        </w:rPr>
      </w:pPr>
      <w:r w:rsidRPr="00A00785">
        <w:rPr>
          <w:rFonts w:ascii="Palatino Linotype" w:hAnsi="Palatino Linotype"/>
          <w:sz w:val="23"/>
          <w:szCs w:val="23"/>
        </w:rPr>
        <w:t>Ahora bien, la ponencia determino que existió negligencia sustentándolo en el artículo 234, de la ley antes referida, determinando así lo siguiente: “…</w:t>
      </w:r>
      <w:r w:rsidRPr="00A00785">
        <w:rPr>
          <w:rFonts w:ascii="Palatino Linotype" w:hAnsi="Palatino Linotype" w:cs="Arial"/>
          <w:i/>
          <w:sz w:val="23"/>
          <w:szCs w:val="23"/>
        </w:rPr>
        <w:t>el Sujeto Obligado</w:t>
      </w:r>
      <w:r w:rsidRPr="00A00785">
        <w:rPr>
          <w:rFonts w:ascii="Palatino Linotype" w:hAnsi="Palatino Linotype" w:cs="Arial"/>
          <w:i/>
          <w:color w:val="000000"/>
          <w:sz w:val="23"/>
          <w:szCs w:val="23"/>
        </w:rPr>
        <w:t xml:space="preserve">, </w:t>
      </w:r>
      <w:r w:rsidRPr="00A00785">
        <w:rPr>
          <w:rFonts w:ascii="Palatino Linotype" w:hAnsi="Palatino Linotype"/>
          <w:i/>
          <w:sz w:val="23"/>
          <w:szCs w:val="23"/>
        </w:rPr>
        <w:t xml:space="preserve">deberá informar al recurrente con claridad y certeza, </w:t>
      </w:r>
      <w:r w:rsidRPr="00A00785">
        <w:rPr>
          <w:rFonts w:ascii="Palatino Linotype" w:hAnsi="Palatino Linotype"/>
          <w:i/>
          <w:sz w:val="23"/>
          <w:szCs w:val="23"/>
          <w:lang w:val="es-ES_tradnl"/>
        </w:rPr>
        <w:t>el domicilio al cual deberá acudir, el nombre de la dependencia o área respectiva, los días y horarios de atención en los cuales podrá acceder a las documentales, la forma y procedimiento a seguir, conforme a lo dispuesto por el artículo 166</w:t>
      </w:r>
      <w:r w:rsidR="0023513C" w:rsidRPr="00A00785">
        <w:rPr>
          <w:rFonts w:ascii="Palatino Linotype" w:hAnsi="Palatino Linotype"/>
          <w:i/>
          <w:sz w:val="23"/>
          <w:szCs w:val="23"/>
          <w:lang w:val="es-ES_tradnl"/>
        </w:rPr>
        <w:t>,</w:t>
      </w:r>
      <w:r w:rsidRPr="00A00785">
        <w:rPr>
          <w:rFonts w:ascii="Palatino Linotype" w:hAnsi="Palatino Linotype"/>
          <w:i/>
          <w:sz w:val="23"/>
          <w:szCs w:val="23"/>
          <w:lang w:val="es-ES_tradnl"/>
        </w:rPr>
        <w:t xml:space="preserve"> de </w:t>
      </w:r>
      <w:r w:rsidRPr="00A00785">
        <w:rPr>
          <w:rFonts w:ascii="Palatino Linotype" w:hAnsi="Palatino Linotype"/>
          <w:i/>
          <w:sz w:val="23"/>
          <w:szCs w:val="23"/>
          <w:lang w:val="es-ES_tradnl"/>
        </w:rPr>
        <w:lastRenderedPageBreak/>
        <w:t xml:space="preserve">la Ley de Transparencia y Acceso a la Información Pública del Estado de México y Municipios. </w:t>
      </w:r>
      <w:r w:rsidRPr="00A00785">
        <w:rPr>
          <w:rFonts w:ascii="Palatino Linotype" w:hAnsi="Palatino Linotype"/>
          <w:i/>
          <w:sz w:val="23"/>
          <w:szCs w:val="23"/>
        </w:rPr>
        <w:t>Lo anterior por cuanto hace a la entrega de la información solicitada en la modalidad de copias certificadas.</w:t>
      </w:r>
      <w:r w:rsidRPr="00A00785">
        <w:rPr>
          <w:rFonts w:ascii="Palatino Linotype" w:hAnsi="Palatino Linotype"/>
          <w:sz w:val="23"/>
          <w:szCs w:val="23"/>
        </w:rPr>
        <w:t>”</w:t>
      </w:r>
    </w:p>
    <w:p w:rsidR="00815638" w:rsidRPr="00A00785" w:rsidRDefault="00815638" w:rsidP="00A00785">
      <w:pPr>
        <w:spacing w:after="0" w:line="276" w:lineRule="auto"/>
        <w:jc w:val="both"/>
        <w:rPr>
          <w:rFonts w:ascii="Palatino Linotype" w:hAnsi="Palatino Linotype"/>
          <w:sz w:val="23"/>
          <w:szCs w:val="23"/>
        </w:rPr>
      </w:pPr>
    </w:p>
    <w:p w:rsidR="00815638" w:rsidRPr="00A00785" w:rsidRDefault="00815638" w:rsidP="00A00785">
      <w:pPr>
        <w:spacing w:after="0" w:line="276" w:lineRule="auto"/>
        <w:jc w:val="both"/>
        <w:rPr>
          <w:rFonts w:ascii="Palatino Linotype" w:hAnsi="Palatino Linotype"/>
          <w:sz w:val="23"/>
          <w:szCs w:val="23"/>
        </w:rPr>
      </w:pPr>
      <w:r w:rsidRPr="00A00785">
        <w:rPr>
          <w:rFonts w:ascii="Palatino Linotype" w:hAnsi="Palatino Linotype"/>
          <w:sz w:val="23"/>
          <w:szCs w:val="23"/>
        </w:rPr>
        <w:t>Por lo anterior, se debe considerar que, efectivamente, el artículo 174</w:t>
      </w:r>
      <w:r w:rsidR="0023513C" w:rsidRPr="00A00785">
        <w:rPr>
          <w:rFonts w:ascii="Palatino Linotype" w:hAnsi="Palatino Linotype"/>
          <w:sz w:val="23"/>
          <w:szCs w:val="23"/>
        </w:rPr>
        <w:t>,</w:t>
      </w:r>
      <w:r w:rsidRPr="00A00785">
        <w:rPr>
          <w:rFonts w:ascii="Palatino Linotype" w:hAnsi="Palatino Linotype"/>
          <w:sz w:val="23"/>
          <w:szCs w:val="23"/>
        </w:rPr>
        <w:t xml:space="preserve"> de la Ley de Transparencia Local prevé lo conducente en caso de que existan costos para acceder a la información solicitada: </w:t>
      </w:r>
    </w:p>
    <w:p w:rsidR="00815638" w:rsidRPr="00A00785" w:rsidRDefault="00815638" w:rsidP="00A00785">
      <w:pPr>
        <w:autoSpaceDE w:val="0"/>
        <w:autoSpaceDN w:val="0"/>
        <w:adjustRightInd w:val="0"/>
        <w:spacing w:before="240" w:line="240" w:lineRule="auto"/>
        <w:ind w:left="851" w:right="851"/>
        <w:jc w:val="both"/>
        <w:rPr>
          <w:rFonts w:ascii="Palatino Linotype" w:eastAsia="Times New Roman" w:hAnsi="Palatino Linotype" w:cs="Times New Roman"/>
          <w:i/>
          <w:szCs w:val="23"/>
          <w:lang w:val="es-ES" w:eastAsia="es-ES"/>
        </w:rPr>
      </w:pPr>
      <w:r w:rsidRPr="00A00785">
        <w:rPr>
          <w:rFonts w:ascii="Palatino Linotype" w:eastAsia="Times New Roman" w:hAnsi="Palatino Linotype" w:cs="Times New Roman"/>
          <w:b/>
          <w:i/>
          <w:szCs w:val="23"/>
          <w:lang w:val="es-ES" w:eastAsia="es-ES"/>
        </w:rPr>
        <w:t>Artículo 174.</w:t>
      </w:r>
      <w:r w:rsidRPr="00A00785">
        <w:rPr>
          <w:rFonts w:ascii="Palatino Linotype" w:eastAsia="Times New Roman" w:hAnsi="Palatino Linotype" w:cs="Times New Roman"/>
          <w:i/>
          <w:szCs w:val="23"/>
          <w:lang w:val="es-ES" w:eastAsia="es-ES"/>
        </w:rPr>
        <w:t xml:space="preserve"> En caso de existir costos para obtener la información deberán cubrirse de manera previa a la entrega y no podrán ser superiores a la suma de:</w:t>
      </w:r>
    </w:p>
    <w:p w:rsidR="00815638" w:rsidRPr="00A00785" w:rsidRDefault="00815638" w:rsidP="00A00785">
      <w:pPr>
        <w:autoSpaceDE w:val="0"/>
        <w:autoSpaceDN w:val="0"/>
        <w:adjustRightInd w:val="0"/>
        <w:spacing w:before="240" w:line="240" w:lineRule="auto"/>
        <w:ind w:left="851" w:right="851"/>
        <w:jc w:val="both"/>
        <w:rPr>
          <w:rFonts w:ascii="Palatino Linotype" w:eastAsia="Times New Roman" w:hAnsi="Palatino Linotype" w:cs="Times New Roman"/>
          <w:i/>
          <w:szCs w:val="23"/>
          <w:lang w:val="es-ES" w:eastAsia="es-ES"/>
        </w:rPr>
      </w:pPr>
      <w:r w:rsidRPr="00A00785">
        <w:rPr>
          <w:rFonts w:ascii="Palatino Linotype" w:eastAsia="Times New Roman" w:hAnsi="Palatino Linotype" w:cs="Times New Roman"/>
          <w:i/>
          <w:szCs w:val="23"/>
          <w:lang w:val="es-ES" w:eastAsia="es-ES"/>
        </w:rPr>
        <w:t>I. El costo de los materiales utilizados en la reproducción de la información</w:t>
      </w:r>
    </w:p>
    <w:p w:rsidR="00815638" w:rsidRPr="00A00785" w:rsidRDefault="00815638" w:rsidP="00A00785">
      <w:pPr>
        <w:autoSpaceDE w:val="0"/>
        <w:autoSpaceDN w:val="0"/>
        <w:adjustRightInd w:val="0"/>
        <w:spacing w:before="240" w:line="240" w:lineRule="auto"/>
        <w:ind w:left="851" w:right="851"/>
        <w:jc w:val="both"/>
        <w:rPr>
          <w:rFonts w:ascii="Palatino Linotype" w:eastAsia="Times New Roman" w:hAnsi="Palatino Linotype" w:cs="Times New Roman"/>
          <w:i/>
          <w:szCs w:val="23"/>
          <w:lang w:val="es-ES" w:eastAsia="es-ES"/>
        </w:rPr>
      </w:pPr>
      <w:r w:rsidRPr="00A00785">
        <w:rPr>
          <w:rFonts w:ascii="Palatino Linotype" w:eastAsia="Times New Roman" w:hAnsi="Palatino Linotype" w:cs="Times New Roman"/>
          <w:i/>
          <w:szCs w:val="23"/>
          <w:lang w:val="es-ES" w:eastAsia="es-ES"/>
        </w:rPr>
        <w:t>II. El costo de envío, en su caso; y</w:t>
      </w:r>
    </w:p>
    <w:p w:rsidR="00815638" w:rsidRPr="00A00785" w:rsidRDefault="00815638" w:rsidP="00A00785">
      <w:pPr>
        <w:autoSpaceDE w:val="0"/>
        <w:autoSpaceDN w:val="0"/>
        <w:adjustRightInd w:val="0"/>
        <w:spacing w:before="240" w:line="240" w:lineRule="auto"/>
        <w:ind w:left="851" w:right="851"/>
        <w:jc w:val="both"/>
        <w:rPr>
          <w:rFonts w:ascii="Palatino Linotype" w:eastAsia="Times New Roman" w:hAnsi="Palatino Linotype" w:cs="Times New Roman"/>
          <w:b/>
          <w:i/>
          <w:szCs w:val="23"/>
          <w:u w:val="single"/>
          <w:lang w:val="es-ES" w:eastAsia="es-ES"/>
        </w:rPr>
      </w:pPr>
      <w:r w:rsidRPr="00A00785">
        <w:rPr>
          <w:rFonts w:ascii="Palatino Linotype" w:eastAsia="Times New Roman" w:hAnsi="Palatino Linotype" w:cs="Times New Roman"/>
          <w:b/>
          <w:i/>
          <w:szCs w:val="23"/>
          <w:u w:val="single"/>
          <w:lang w:val="es-ES" w:eastAsia="es-ES"/>
        </w:rPr>
        <w:t>III. El pago de la certificación de los documentos, cuando proceda.</w:t>
      </w:r>
    </w:p>
    <w:p w:rsidR="00815638" w:rsidRPr="00A00785" w:rsidRDefault="00815638" w:rsidP="00A00785">
      <w:pPr>
        <w:autoSpaceDE w:val="0"/>
        <w:autoSpaceDN w:val="0"/>
        <w:adjustRightInd w:val="0"/>
        <w:spacing w:before="240" w:line="240" w:lineRule="auto"/>
        <w:ind w:left="851" w:right="851"/>
        <w:jc w:val="both"/>
        <w:rPr>
          <w:rFonts w:ascii="Palatino Linotype" w:eastAsia="Times New Roman" w:hAnsi="Palatino Linotype" w:cs="Times New Roman"/>
          <w:i/>
          <w:szCs w:val="23"/>
          <w:lang w:val="es-ES" w:eastAsia="es-ES"/>
        </w:rPr>
      </w:pPr>
      <w:r w:rsidRPr="00A00785">
        <w:rPr>
          <w:rFonts w:ascii="Palatino Linotype" w:eastAsia="Times New Roman" w:hAnsi="Palatino Linotype" w:cs="Times New Roman"/>
          <w:i/>
          <w:szCs w:val="23"/>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815638" w:rsidRPr="00A00785" w:rsidRDefault="00815638" w:rsidP="00A00785">
      <w:pPr>
        <w:autoSpaceDE w:val="0"/>
        <w:autoSpaceDN w:val="0"/>
        <w:adjustRightInd w:val="0"/>
        <w:spacing w:before="240" w:line="240" w:lineRule="auto"/>
        <w:ind w:left="851" w:right="851"/>
        <w:jc w:val="both"/>
        <w:rPr>
          <w:rFonts w:ascii="Palatino Linotype" w:eastAsia="Times New Roman" w:hAnsi="Palatino Linotype" w:cs="Times New Roman"/>
          <w:i/>
          <w:szCs w:val="23"/>
          <w:lang w:val="es-ES" w:eastAsia="es-ES"/>
        </w:rPr>
      </w:pPr>
      <w:r w:rsidRPr="00A00785">
        <w:rPr>
          <w:rFonts w:ascii="Palatino Linotype" w:eastAsia="Times New Roman" w:hAnsi="Palatino Linotype" w:cs="Times New Roman"/>
          <w:i/>
          <w:szCs w:val="23"/>
          <w:lang w:val="es-ES" w:eastAsia="es-ES"/>
        </w:rPr>
        <w:t>Los sujetos obligados a los que no les sea aplicable el Código Financiero del Estado de México y Municipios deberán establecer cuotas que no sean mayores a las dispuestas en dicho ordenamiento.</w:t>
      </w:r>
    </w:p>
    <w:p w:rsidR="00815638" w:rsidRPr="00A00785" w:rsidRDefault="00815638" w:rsidP="00A00785">
      <w:pPr>
        <w:autoSpaceDE w:val="0"/>
        <w:autoSpaceDN w:val="0"/>
        <w:adjustRightInd w:val="0"/>
        <w:spacing w:before="240" w:line="240" w:lineRule="auto"/>
        <w:ind w:left="851" w:right="851"/>
        <w:jc w:val="both"/>
        <w:rPr>
          <w:rFonts w:ascii="Palatino Linotype" w:eastAsia="Times New Roman" w:hAnsi="Palatino Linotype" w:cs="Times New Roman"/>
          <w:i/>
          <w:szCs w:val="23"/>
          <w:lang w:val="es-ES" w:eastAsia="es-ES"/>
        </w:rPr>
      </w:pPr>
      <w:r w:rsidRPr="00A00785">
        <w:rPr>
          <w:rFonts w:ascii="Palatino Linotype" w:eastAsia="Times New Roman" w:hAnsi="Palatino Linotype" w:cs="Times New Roman"/>
          <w:i/>
          <w:szCs w:val="23"/>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815638" w:rsidRPr="00A00785" w:rsidRDefault="00815638" w:rsidP="00A00785">
      <w:pPr>
        <w:spacing w:after="0" w:line="276" w:lineRule="auto"/>
        <w:jc w:val="both"/>
        <w:rPr>
          <w:rFonts w:ascii="Palatino Linotype" w:hAnsi="Palatino Linotype"/>
          <w:sz w:val="23"/>
          <w:szCs w:val="23"/>
        </w:rPr>
      </w:pPr>
    </w:p>
    <w:p w:rsidR="00815638" w:rsidRPr="00A00785" w:rsidRDefault="00815638" w:rsidP="00A00785">
      <w:pPr>
        <w:spacing w:after="0" w:line="276" w:lineRule="auto"/>
        <w:jc w:val="both"/>
        <w:rPr>
          <w:rFonts w:ascii="Palatino Linotype" w:hAnsi="Palatino Linotype"/>
          <w:sz w:val="23"/>
          <w:szCs w:val="23"/>
        </w:rPr>
      </w:pPr>
      <w:r w:rsidRPr="00A00785">
        <w:rPr>
          <w:rFonts w:ascii="Palatino Linotype" w:hAnsi="Palatino Linotype"/>
          <w:sz w:val="23"/>
          <w:szCs w:val="23"/>
        </w:rPr>
        <w:lastRenderedPageBreak/>
        <w:t>No obstante para la suscrita, es de considerarse que por negligencia se debe considerar como la f</w:t>
      </w:r>
      <w:r w:rsidRPr="00A00785">
        <w:rPr>
          <w:rFonts w:ascii="Palatino Linotype" w:hAnsi="Palatino Linotype" w:cs="Arial"/>
          <w:color w:val="222222"/>
          <w:sz w:val="23"/>
          <w:szCs w:val="23"/>
          <w:shd w:val="clear" w:color="auto" w:fill="FFFFFF"/>
        </w:rPr>
        <w:t>alta de cuidado, aplicación y diligencia de los Sujetos Obligados, así como de los particulares, en especial en el cumplimiento de una obligación, con este pronunciamiento no se sustenta que exista negligencia, ya que el término es amplio y relativo, ya que el artículo 234</w:t>
      </w:r>
      <w:r w:rsidR="0023513C" w:rsidRPr="00A00785">
        <w:rPr>
          <w:rFonts w:ascii="Palatino Linotype" w:hAnsi="Palatino Linotype" w:cs="Arial"/>
          <w:color w:val="222222"/>
          <w:sz w:val="23"/>
          <w:szCs w:val="23"/>
          <w:shd w:val="clear" w:color="auto" w:fill="FFFFFF"/>
        </w:rPr>
        <w:t>,</w:t>
      </w:r>
      <w:r w:rsidRPr="00A00785">
        <w:rPr>
          <w:rFonts w:ascii="Palatino Linotype" w:hAnsi="Palatino Linotype" w:cs="Arial"/>
          <w:color w:val="222222"/>
          <w:sz w:val="23"/>
          <w:szCs w:val="23"/>
          <w:shd w:val="clear" w:color="auto" w:fill="FFFFFF"/>
        </w:rPr>
        <w:t xml:space="preserve"> es muy claro en establecer que cuando el </w:t>
      </w:r>
      <w:r w:rsidRPr="00A00785">
        <w:rPr>
          <w:rFonts w:ascii="Palatino Linotype" w:hAnsi="Palatino Linotype"/>
          <w:sz w:val="23"/>
          <w:szCs w:val="23"/>
        </w:rPr>
        <w:t>Instituto determine que por negligencia no se hubiere atendido alguna solicitud en los términos de esta Ley, requerirá a la Unidad de Transparencia correspondiente para que proporcione la información sin costo alguno para el solicitante, empero, la ponencia solo sustenta su actuar bajo la premisa de que el Sujeto Obligado no realizo una búsqueda exhaustiva de la información, no en los casos en que se determine que efectivamente no se hizo una búsqueda exhaustiva, es actuar con negligencia.</w:t>
      </w:r>
    </w:p>
    <w:p w:rsidR="00815638" w:rsidRPr="00A00785" w:rsidRDefault="00815638" w:rsidP="00A00785">
      <w:pPr>
        <w:spacing w:after="0" w:line="276" w:lineRule="auto"/>
        <w:jc w:val="both"/>
        <w:rPr>
          <w:rFonts w:ascii="Palatino Linotype" w:hAnsi="Palatino Linotype"/>
          <w:sz w:val="23"/>
          <w:szCs w:val="23"/>
        </w:rPr>
      </w:pPr>
    </w:p>
    <w:p w:rsidR="00815638" w:rsidRPr="00A00785" w:rsidRDefault="00815638" w:rsidP="00A00785">
      <w:pPr>
        <w:spacing w:after="0" w:line="276" w:lineRule="auto"/>
        <w:jc w:val="both"/>
        <w:rPr>
          <w:rFonts w:ascii="Palatino Linotype" w:hAnsi="Palatino Linotype"/>
          <w:sz w:val="23"/>
          <w:szCs w:val="23"/>
        </w:rPr>
      </w:pPr>
      <w:r w:rsidRPr="00A00785">
        <w:rPr>
          <w:rFonts w:ascii="Palatino Linotype" w:hAnsi="Palatino Linotype"/>
          <w:sz w:val="23"/>
          <w:szCs w:val="23"/>
        </w:rPr>
        <w:t xml:space="preserve">En este sentido, si se está salvaguardando el derecho de acceso a la información, toda vez que se está ordenando realizar una búsqueda en los archivos del Sujeto Obligado a efecto de no coartar sus derechos, también es cierto que no debemos extralimitarnos y determinar una negligencia que pudo no haber existido, ya que en efecto la ponencia </w:t>
      </w:r>
      <w:proofErr w:type="spellStart"/>
      <w:r w:rsidRPr="00A00785">
        <w:rPr>
          <w:rFonts w:ascii="Palatino Linotype" w:hAnsi="Palatino Linotype"/>
          <w:sz w:val="23"/>
          <w:szCs w:val="23"/>
        </w:rPr>
        <w:t>resolutora</w:t>
      </w:r>
      <w:proofErr w:type="spellEnd"/>
      <w:r w:rsidRPr="00A00785">
        <w:rPr>
          <w:rFonts w:ascii="Palatino Linotype" w:hAnsi="Palatino Linotype"/>
          <w:sz w:val="23"/>
          <w:szCs w:val="23"/>
        </w:rPr>
        <w:t>, no advierte fehacientemente que haya configurado una negligencia en el proceso del derecho de acceso a la información.</w:t>
      </w:r>
    </w:p>
    <w:p w:rsidR="00815638" w:rsidRPr="00A00785" w:rsidRDefault="00815638" w:rsidP="00A00785">
      <w:pPr>
        <w:spacing w:after="0" w:line="276" w:lineRule="auto"/>
        <w:jc w:val="both"/>
        <w:rPr>
          <w:rFonts w:ascii="Palatino Linotype" w:hAnsi="Palatino Linotype"/>
          <w:sz w:val="23"/>
          <w:szCs w:val="23"/>
        </w:rPr>
      </w:pPr>
    </w:p>
    <w:p w:rsidR="00815638" w:rsidRPr="00A00785" w:rsidRDefault="00815638" w:rsidP="00A00785">
      <w:pPr>
        <w:spacing w:after="0" w:line="276" w:lineRule="auto"/>
        <w:jc w:val="both"/>
        <w:rPr>
          <w:rFonts w:ascii="Palatino Linotype" w:hAnsi="Palatino Linotype"/>
          <w:sz w:val="23"/>
          <w:szCs w:val="23"/>
        </w:rPr>
      </w:pPr>
      <w:r w:rsidRPr="00A00785">
        <w:rPr>
          <w:rFonts w:ascii="Palatino Linotype" w:hAnsi="Palatino Linotype"/>
          <w:sz w:val="23"/>
          <w:szCs w:val="23"/>
        </w:rPr>
        <w:t xml:space="preserve">En ese orden de ideas al no configurarse la negligencia como tal, quien suscribe considera que la ponencia </w:t>
      </w:r>
      <w:proofErr w:type="spellStart"/>
      <w:r w:rsidRPr="00A00785">
        <w:rPr>
          <w:rFonts w:ascii="Palatino Linotype" w:hAnsi="Palatino Linotype"/>
          <w:sz w:val="23"/>
          <w:szCs w:val="23"/>
        </w:rPr>
        <w:t>resolutora</w:t>
      </w:r>
      <w:proofErr w:type="spellEnd"/>
      <w:r w:rsidRPr="00A00785">
        <w:rPr>
          <w:rFonts w:ascii="Palatino Linotype" w:hAnsi="Palatino Linotype"/>
          <w:sz w:val="23"/>
          <w:szCs w:val="23"/>
        </w:rPr>
        <w:t xml:space="preserve"> debió ordenar se realice el pago por la certificación de la documentación que se expida con la finalidad de entregar la información a la Recurrente en la modalidad elegida, ordenando al Sujeto Obligado a entregar el procedimiento correspondiente.</w:t>
      </w:r>
    </w:p>
    <w:p w:rsidR="00A00785" w:rsidRPr="00A00785" w:rsidRDefault="00A00785" w:rsidP="00A00785">
      <w:pPr>
        <w:spacing w:after="0" w:line="276" w:lineRule="auto"/>
        <w:jc w:val="both"/>
        <w:rPr>
          <w:rFonts w:ascii="Palatino Linotype" w:hAnsi="Palatino Linotype"/>
          <w:sz w:val="23"/>
          <w:szCs w:val="23"/>
        </w:rPr>
      </w:pPr>
    </w:p>
    <w:p w:rsidR="00A00785" w:rsidRPr="00A00785" w:rsidRDefault="00A00785" w:rsidP="00A00785">
      <w:pPr>
        <w:pStyle w:val="Sinespaciado"/>
        <w:spacing w:line="276" w:lineRule="auto"/>
        <w:jc w:val="both"/>
        <w:rPr>
          <w:rFonts w:ascii="Palatino Linotype" w:hAnsi="Palatino Linotype"/>
          <w:sz w:val="23"/>
          <w:szCs w:val="23"/>
        </w:rPr>
      </w:pPr>
      <w:r w:rsidRPr="00A00785">
        <w:rPr>
          <w:rFonts w:ascii="Palatino Linotype" w:hAnsi="Palatino Linotype"/>
          <w:sz w:val="23"/>
          <w:szCs w:val="23"/>
        </w:rPr>
        <w:t xml:space="preserve">Por lo anterior es que se llega al punto en disenso, toda vez que quien suscribe considera que, si bien se debe ordenar la entrega de la información solicitada por el Recurrente en la modalidad solicitada, esto es vía SAIMEX y en copias certificadas, éstas últimas deberán ser entregadas con costo al particular en los términos establecidos en el Código </w:t>
      </w:r>
      <w:r w:rsidRPr="00A00785">
        <w:rPr>
          <w:rFonts w:ascii="Palatino Linotype" w:hAnsi="Palatino Linotype"/>
          <w:sz w:val="23"/>
          <w:szCs w:val="23"/>
        </w:rPr>
        <w:lastRenderedPageBreak/>
        <w:t>Financiero del Estado de México y Municipios, toda vez que así fueron requeridas por el mismo Recurrente, aun cuando en su recurso de revisión consideró que debían ser entregadas sin costo derivada de la negligencia del Sujeto Obligado.</w:t>
      </w:r>
    </w:p>
    <w:p w:rsidR="00A00785" w:rsidRPr="00A00785" w:rsidRDefault="00A00785" w:rsidP="00A00785">
      <w:pPr>
        <w:pStyle w:val="Sinespaciado"/>
        <w:spacing w:line="276" w:lineRule="auto"/>
        <w:jc w:val="both"/>
        <w:rPr>
          <w:rFonts w:ascii="Palatino Linotype" w:hAnsi="Palatino Linotype"/>
          <w:sz w:val="23"/>
          <w:szCs w:val="23"/>
        </w:rPr>
      </w:pPr>
    </w:p>
    <w:p w:rsidR="00A00785" w:rsidRPr="00A00785" w:rsidRDefault="00A00785" w:rsidP="00A00785">
      <w:pPr>
        <w:pStyle w:val="Sinespaciado"/>
        <w:spacing w:line="276" w:lineRule="auto"/>
        <w:jc w:val="both"/>
        <w:rPr>
          <w:rFonts w:ascii="Palatino Linotype" w:hAnsi="Palatino Linotype"/>
          <w:sz w:val="23"/>
          <w:szCs w:val="23"/>
        </w:rPr>
      </w:pPr>
      <w:r w:rsidRPr="00A00785">
        <w:rPr>
          <w:rFonts w:ascii="Palatino Linotype" w:hAnsi="Palatino Linotype"/>
          <w:sz w:val="23"/>
          <w:szCs w:val="23"/>
        </w:rPr>
        <w:t xml:space="preserve">Lo anterior tomando en cuenta lo dispuesto por el Código Financiero del Estado de México y Municipios, el cual </w:t>
      </w:r>
      <w:r w:rsidRPr="00A00785">
        <w:rPr>
          <w:rFonts w:ascii="Palatino Linotype" w:hAnsi="Palatino Linotype"/>
          <w:b/>
          <w:sz w:val="23"/>
          <w:szCs w:val="23"/>
          <w:u w:val="single"/>
        </w:rPr>
        <w:t>regula la actividad financiera</w:t>
      </w:r>
      <w:r w:rsidRPr="00A00785">
        <w:rPr>
          <w:rFonts w:ascii="Palatino Linotype" w:hAnsi="Palatino Linotype"/>
          <w:sz w:val="23"/>
          <w:szCs w:val="23"/>
        </w:rPr>
        <w:t xml:space="preserve"> estatal y </w:t>
      </w:r>
      <w:r w:rsidRPr="00A00785">
        <w:rPr>
          <w:rFonts w:ascii="Palatino Linotype" w:hAnsi="Palatino Linotype"/>
          <w:b/>
          <w:sz w:val="23"/>
          <w:szCs w:val="23"/>
          <w:u w:val="single"/>
        </w:rPr>
        <w:t>municipal</w:t>
      </w:r>
      <w:r w:rsidRPr="00A00785">
        <w:rPr>
          <w:rFonts w:ascii="Palatino Linotype" w:hAnsi="Palatino Linotype"/>
          <w:sz w:val="23"/>
          <w:szCs w:val="23"/>
        </w:rPr>
        <w:t xml:space="preserve">, </w:t>
      </w:r>
      <w:r w:rsidRPr="00A00785">
        <w:rPr>
          <w:rFonts w:ascii="Palatino Linotype" w:hAnsi="Palatino Linotype"/>
          <w:b/>
          <w:sz w:val="23"/>
          <w:szCs w:val="23"/>
          <w:u w:val="single"/>
        </w:rPr>
        <w:t>entendiendo a dicha activada la que comprende la obtención</w:t>
      </w:r>
      <w:r w:rsidRPr="00A00785">
        <w:rPr>
          <w:rFonts w:ascii="Palatino Linotype" w:hAnsi="Palatino Linotype"/>
          <w:sz w:val="23"/>
          <w:szCs w:val="23"/>
        </w:rPr>
        <w:t xml:space="preserve">, administración y aplicación </w:t>
      </w:r>
      <w:r w:rsidRPr="00A00785">
        <w:rPr>
          <w:rFonts w:ascii="Palatino Linotype" w:hAnsi="Palatino Linotype"/>
          <w:b/>
          <w:sz w:val="23"/>
          <w:szCs w:val="23"/>
          <w:u w:val="single"/>
        </w:rPr>
        <w:t>de los ingresos públicos</w:t>
      </w:r>
      <w:r w:rsidRPr="00A00785">
        <w:rPr>
          <w:rFonts w:ascii="Palatino Linotype" w:hAnsi="Palatino Linotype"/>
          <w:sz w:val="23"/>
          <w:szCs w:val="23"/>
        </w:rPr>
        <w:t>, así como lo conducente a la transparencia y difusión de la información financiera relativa a la presupuestario, ejercicio, evaluación y rendición de cuentas, en apego a las disposiciones aplicables en la materia.</w:t>
      </w:r>
    </w:p>
    <w:p w:rsidR="00A00785" w:rsidRPr="00A00785" w:rsidRDefault="00A00785" w:rsidP="00A00785">
      <w:pPr>
        <w:pStyle w:val="Sinespaciado"/>
        <w:spacing w:line="276" w:lineRule="auto"/>
        <w:jc w:val="both"/>
        <w:rPr>
          <w:rFonts w:ascii="Palatino Linotype" w:hAnsi="Palatino Linotype"/>
          <w:sz w:val="23"/>
          <w:szCs w:val="23"/>
        </w:rPr>
      </w:pPr>
    </w:p>
    <w:p w:rsidR="00A00785" w:rsidRPr="00A00785" w:rsidRDefault="00A00785" w:rsidP="00A00785">
      <w:pPr>
        <w:pStyle w:val="Sinespaciado"/>
        <w:spacing w:line="276" w:lineRule="auto"/>
        <w:ind w:firstLine="1"/>
        <w:jc w:val="both"/>
        <w:rPr>
          <w:rFonts w:ascii="Palatino Linotype" w:hAnsi="Palatino Linotype"/>
          <w:sz w:val="23"/>
          <w:szCs w:val="23"/>
        </w:rPr>
      </w:pPr>
      <w:r w:rsidRPr="00A00785">
        <w:rPr>
          <w:rFonts w:ascii="Palatino Linotype" w:hAnsi="Palatino Linotype"/>
          <w:sz w:val="23"/>
          <w:szCs w:val="23"/>
        </w:rPr>
        <w:t xml:space="preserve">Por tanto, se tiene que el artículo 7, del Código referido establece que </w:t>
      </w:r>
      <w:r w:rsidRPr="00A00785">
        <w:rPr>
          <w:rFonts w:ascii="Palatino Linotype" w:hAnsi="Palatino Linotype"/>
          <w:b/>
          <w:sz w:val="23"/>
          <w:szCs w:val="23"/>
          <w:u w:val="single"/>
        </w:rPr>
        <w:t>para cubrir el gasto público y demás obligaciones a su cargo</w:t>
      </w:r>
      <w:r w:rsidRPr="00A00785">
        <w:rPr>
          <w:rFonts w:ascii="Palatino Linotype" w:hAnsi="Palatino Linotype"/>
          <w:sz w:val="23"/>
          <w:szCs w:val="23"/>
        </w:rPr>
        <w:t xml:space="preserve">, el Estado y </w:t>
      </w:r>
      <w:r w:rsidRPr="00A00785">
        <w:rPr>
          <w:rFonts w:ascii="Palatino Linotype" w:hAnsi="Palatino Linotype"/>
          <w:b/>
          <w:sz w:val="23"/>
          <w:szCs w:val="23"/>
          <w:u w:val="single"/>
        </w:rPr>
        <w:t>los Municipios percibirán en cada ejercicio fiscal los</w:t>
      </w:r>
      <w:r w:rsidRPr="00A00785">
        <w:rPr>
          <w:rFonts w:ascii="Palatino Linotype" w:hAnsi="Palatino Linotype"/>
          <w:sz w:val="23"/>
          <w:szCs w:val="23"/>
        </w:rPr>
        <w:t xml:space="preserve"> impuestos, </w:t>
      </w:r>
      <w:r w:rsidRPr="00A00785">
        <w:rPr>
          <w:rFonts w:ascii="Palatino Linotype" w:hAnsi="Palatino Linotype"/>
          <w:b/>
          <w:sz w:val="23"/>
          <w:szCs w:val="23"/>
          <w:u w:val="single"/>
        </w:rPr>
        <w:t>derechos</w:t>
      </w:r>
      <w:r w:rsidRPr="00A00785">
        <w:rPr>
          <w:rFonts w:ascii="Palatino Linotype" w:hAnsi="Palatino Linotype"/>
          <w:sz w:val="23"/>
          <w:szCs w:val="23"/>
        </w:rPr>
        <w:t xml:space="preserve">, aportaciones de mejoras, productos, aprovechamientos, ingresos derivados de la coordinación hacendaria, e ingresos provenientes de financiamientos, </w:t>
      </w:r>
      <w:r w:rsidRPr="00A00785">
        <w:rPr>
          <w:rFonts w:ascii="Palatino Linotype" w:hAnsi="Palatino Linotype"/>
          <w:b/>
          <w:sz w:val="23"/>
          <w:szCs w:val="23"/>
          <w:u w:val="single"/>
        </w:rPr>
        <w:t>establecidos en la Ley de ingresos</w:t>
      </w:r>
      <w:r w:rsidRPr="00A00785">
        <w:rPr>
          <w:rFonts w:ascii="Palatino Linotype" w:hAnsi="Palatino Linotype"/>
          <w:sz w:val="23"/>
          <w:szCs w:val="23"/>
        </w:rPr>
        <w:t xml:space="preserve">. Asimismo, </w:t>
      </w:r>
      <w:r w:rsidRPr="00A00785">
        <w:rPr>
          <w:rFonts w:ascii="Palatino Linotype" w:hAnsi="Palatino Linotype"/>
          <w:b/>
          <w:sz w:val="23"/>
          <w:szCs w:val="23"/>
          <w:u w:val="single"/>
        </w:rPr>
        <w:t>el artículo 9 en su fracción II define a los derechos como las contraprestaciones establecidos en este Código que deben pagar las personas físicas y jurídicas colectivas</w:t>
      </w:r>
      <w:r w:rsidRPr="00A00785">
        <w:rPr>
          <w:rFonts w:ascii="Palatino Linotype" w:hAnsi="Palatino Linotype"/>
          <w:sz w:val="23"/>
          <w:szCs w:val="23"/>
        </w:rPr>
        <w:t xml:space="preserve">, por el uso o aprovechamiento de los bienes del domino público de la Entidad, así como </w:t>
      </w:r>
      <w:r w:rsidRPr="00A00785">
        <w:rPr>
          <w:rFonts w:ascii="Palatino Linotype" w:hAnsi="Palatino Linotype"/>
          <w:b/>
          <w:sz w:val="23"/>
          <w:szCs w:val="23"/>
          <w:u w:val="single"/>
        </w:rPr>
        <w:t>por recibir servicios que preste</w:t>
      </w:r>
      <w:r w:rsidRPr="00A00785">
        <w:rPr>
          <w:rFonts w:ascii="Palatino Linotype" w:hAnsi="Palatino Linotype"/>
          <w:sz w:val="23"/>
          <w:szCs w:val="23"/>
        </w:rPr>
        <w:t xml:space="preserve">, el Estado, sus organismos y </w:t>
      </w:r>
      <w:r w:rsidRPr="00A00785">
        <w:rPr>
          <w:rFonts w:ascii="Palatino Linotype" w:hAnsi="Palatino Linotype"/>
          <w:b/>
          <w:sz w:val="23"/>
          <w:szCs w:val="23"/>
          <w:u w:val="single"/>
        </w:rPr>
        <w:t>Municipios en funciones de derecho público</w:t>
      </w:r>
      <w:r w:rsidRPr="00A00785">
        <w:rPr>
          <w:rFonts w:ascii="Palatino Linotype" w:hAnsi="Palatino Linotype"/>
          <w:sz w:val="23"/>
          <w:szCs w:val="23"/>
        </w:rPr>
        <w:t>.</w:t>
      </w:r>
    </w:p>
    <w:p w:rsidR="00A00785" w:rsidRPr="00A00785" w:rsidRDefault="00A00785" w:rsidP="00A00785">
      <w:pPr>
        <w:pStyle w:val="Sinespaciado"/>
        <w:spacing w:line="276" w:lineRule="auto"/>
        <w:ind w:firstLine="1"/>
        <w:jc w:val="both"/>
        <w:rPr>
          <w:rFonts w:ascii="Palatino Linotype" w:hAnsi="Palatino Linotype"/>
          <w:sz w:val="23"/>
          <w:szCs w:val="23"/>
        </w:rPr>
      </w:pPr>
    </w:p>
    <w:p w:rsidR="00A00785" w:rsidRPr="00A00785" w:rsidRDefault="00A00785" w:rsidP="00A00785">
      <w:pPr>
        <w:pStyle w:val="Sinespaciado"/>
        <w:spacing w:line="276" w:lineRule="auto"/>
        <w:ind w:firstLine="1"/>
        <w:jc w:val="both"/>
        <w:rPr>
          <w:rFonts w:ascii="Palatino Linotype" w:hAnsi="Palatino Linotype"/>
          <w:sz w:val="23"/>
          <w:szCs w:val="23"/>
        </w:rPr>
      </w:pPr>
      <w:r w:rsidRPr="00A00785">
        <w:rPr>
          <w:rFonts w:ascii="Palatino Linotype" w:hAnsi="Palatino Linotype"/>
          <w:sz w:val="23"/>
          <w:szCs w:val="23"/>
        </w:rPr>
        <w:t>Así, se tiene que el cobro por copias certificadas es un derecho que cobran los municipios y su destino es cubrir el gasto público y demás obligaciones a su cargo, por lo cual, al eximir del pago al particular, en el caso en concreto al Recurrente, se ocasiona un perjuicio al Municipio, pues se le está privando de la ganancia lícita que debiera haberse obtenido con el cumplimiento de la obligación de la Recurrente a realizar el pago establecido en el multicitado Código Financiero.</w:t>
      </w:r>
    </w:p>
    <w:p w:rsidR="00A00785" w:rsidRPr="00A00785" w:rsidRDefault="00A00785" w:rsidP="00A00785">
      <w:pPr>
        <w:pStyle w:val="Sinespaciado"/>
        <w:spacing w:line="276" w:lineRule="auto"/>
        <w:ind w:firstLine="1"/>
        <w:jc w:val="both"/>
        <w:rPr>
          <w:rFonts w:ascii="Palatino Linotype" w:hAnsi="Palatino Linotype"/>
          <w:sz w:val="23"/>
          <w:szCs w:val="23"/>
        </w:rPr>
      </w:pPr>
    </w:p>
    <w:p w:rsidR="00A00785" w:rsidRPr="00A00785" w:rsidRDefault="00A00785" w:rsidP="00A00785">
      <w:pPr>
        <w:pStyle w:val="Sinespaciado"/>
        <w:spacing w:line="276" w:lineRule="auto"/>
        <w:ind w:firstLine="1"/>
        <w:jc w:val="both"/>
        <w:rPr>
          <w:rFonts w:ascii="Palatino Linotype" w:hAnsi="Palatino Linotype"/>
          <w:sz w:val="23"/>
          <w:szCs w:val="23"/>
        </w:rPr>
      </w:pPr>
      <w:r w:rsidRPr="00A00785">
        <w:rPr>
          <w:rFonts w:ascii="Palatino Linotype" w:hAnsi="Palatino Linotype"/>
          <w:sz w:val="23"/>
          <w:szCs w:val="23"/>
        </w:rPr>
        <w:lastRenderedPageBreak/>
        <w:t>Por lo que a consideración de esta Ponencia, en la resolución emitida se debió haber considerado que, si bien la respuesta dada por el Sujeto Obligado no fue suficiente para colmar las pretensiones del Recurrente, esto no debió ser motivo suficiente para exceptuar del pago correspondiente a la expedición de las copias certificadas solicitadas por el particular, toda vez que éste misma así lo pidió en los motivos de inconformidad, además de que es una obligación establecida por el Código Financiero; lo cual, de no cumplirse, se genera un perjuicio al municipio, pues representa una fuente de ingreso con el que se pretende cubrir su gasto público y demás obligaciones.</w:t>
      </w:r>
    </w:p>
    <w:p w:rsidR="00A00785" w:rsidRPr="00A00785" w:rsidRDefault="00A00785" w:rsidP="00A00785">
      <w:pPr>
        <w:spacing w:after="0" w:line="276" w:lineRule="auto"/>
        <w:jc w:val="both"/>
        <w:rPr>
          <w:rFonts w:ascii="Palatino Linotype" w:hAnsi="Palatino Linotype"/>
          <w:sz w:val="23"/>
          <w:szCs w:val="23"/>
        </w:rPr>
      </w:pPr>
    </w:p>
    <w:p w:rsidR="00A00785" w:rsidRPr="00A00785" w:rsidRDefault="00A00785" w:rsidP="00A00785">
      <w:pPr>
        <w:pStyle w:val="Sinespaciado"/>
        <w:spacing w:line="276" w:lineRule="auto"/>
        <w:ind w:firstLine="1"/>
        <w:jc w:val="both"/>
        <w:rPr>
          <w:rFonts w:ascii="Palatino Linotype" w:hAnsi="Palatino Linotype"/>
          <w:sz w:val="23"/>
          <w:szCs w:val="23"/>
        </w:rPr>
      </w:pPr>
      <w:r w:rsidRPr="00A00785">
        <w:rPr>
          <w:rFonts w:ascii="Palatino Linotype" w:hAnsi="Palatino Linotype"/>
          <w:sz w:val="23"/>
          <w:szCs w:val="23"/>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al sujeto obligado, sino que se le obliga a cubrir con sus propios recursos el costo generado por el servicio que se le solicitó, en el caso en concreto, la expedición de copias certificadas.</w:t>
      </w:r>
    </w:p>
    <w:p w:rsidR="00815638" w:rsidRPr="00A00785" w:rsidRDefault="00815638" w:rsidP="00A00785">
      <w:pPr>
        <w:spacing w:after="0" w:line="276" w:lineRule="auto"/>
        <w:rPr>
          <w:rFonts w:ascii="Palatino Linotype" w:hAnsi="Palatino Linotype"/>
          <w:b/>
          <w:sz w:val="23"/>
          <w:szCs w:val="23"/>
        </w:rPr>
      </w:pPr>
    </w:p>
    <w:p w:rsidR="00815638" w:rsidRPr="00A00785" w:rsidRDefault="00815638" w:rsidP="00A00785">
      <w:pPr>
        <w:spacing w:after="0" w:line="276" w:lineRule="auto"/>
        <w:jc w:val="center"/>
        <w:rPr>
          <w:rFonts w:ascii="Palatino Linotype" w:hAnsi="Palatino Linotype"/>
          <w:b/>
          <w:sz w:val="23"/>
          <w:szCs w:val="23"/>
        </w:rPr>
      </w:pPr>
    </w:p>
    <w:p w:rsidR="00815638" w:rsidRPr="00A00785" w:rsidRDefault="00815638" w:rsidP="00A00785">
      <w:pPr>
        <w:spacing w:after="0" w:line="276" w:lineRule="auto"/>
        <w:jc w:val="center"/>
        <w:rPr>
          <w:rFonts w:ascii="Palatino Linotype" w:hAnsi="Palatino Linotype"/>
          <w:b/>
          <w:sz w:val="23"/>
          <w:szCs w:val="23"/>
        </w:rPr>
      </w:pPr>
    </w:p>
    <w:p w:rsidR="00815638" w:rsidRPr="00A00785" w:rsidRDefault="00815638" w:rsidP="00A00785">
      <w:pPr>
        <w:spacing w:after="0" w:line="276" w:lineRule="auto"/>
        <w:jc w:val="center"/>
        <w:rPr>
          <w:rFonts w:ascii="Palatino Linotype" w:hAnsi="Palatino Linotype"/>
          <w:b/>
          <w:sz w:val="23"/>
          <w:szCs w:val="23"/>
        </w:rPr>
      </w:pPr>
    </w:p>
    <w:p w:rsidR="00815638" w:rsidRPr="00A00785" w:rsidRDefault="00815638" w:rsidP="00A00785">
      <w:pPr>
        <w:spacing w:after="0" w:line="276" w:lineRule="auto"/>
        <w:jc w:val="center"/>
        <w:rPr>
          <w:rFonts w:ascii="Palatino Linotype" w:hAnsi="Palatino Linotype"/>
          <w:b/>
          <w:sz w:val="23"/>
          <w:szCs w:val="23"/>
        </w:rPr>
      </w:pPr>
    </w:p>
    <w:p w:rsidR="00815638" w:rsidRPr="00A00785" w:rsidRDefault="00815638" w:rsidP="00A00785">
      <w:pPr>
        <w:spacing w:after="0" w:line="276" w:lineRule="auto"/>
        <w:jc w:val="center"/>
        <w:rPr>
          <w:rFonts w:ascii="Palatino Linotype" w:hAnsi="Palatino Linotype"/>
          <w:b/>
          <w:sz w:val="23"/>
          <w:szCs w:val="23"/>
        </w:rPr>
      </w:pPr>
    </w:p>
    <w:p w:rsidR="00815638" w:rsidRDefault="00815638" w:rsidP="00A00785">
      <w:pPr>
        <w:spacing w:after="0" w:line="276" w:lineRule="auto"/>
        <w:rPr>
          <w:rFonts w:ascii="Palatino Linotype" w:hAnsi="Palatino Linotype"/>
          <w:b/>
          <w:sz w:val="23"/>
          <w:szCs w:val="23"/>
        </w:rPr>
      </w:pPr>
    </w:p>
    <w:p w:rsidR="007A77C3" w:rsidRPr="00A00785" w:rsidRDefault="007A77C3" w:rsidP="00A00785">
      <w:pPr>
        <w:spacing w:after="0" w:line="276" w:lineRule="auto"/>
        <w:rPr>
          <w:rFonts w:ascii="Palatino Linotype" w:hAnsi="Palatino Linotype"/>
          <w:b/>
          <w:sz w:val="23"/>
          <w:szCs w:val="23"/>
        </w:rPr>
      </w:pPr>
    </w:p>
    <w:p w:rsidR="00815638" w:rsidRPr="00A00785" w:rsidRDefault="00815638" w:rsidP="007A77C3">
      <w:pPr>
        <w:spacing w:after="0" w:line="240" w:lineRule="auto"/>
        <w:jc w:val="center"/>
        <w:rPr>
          <w:rFonts w:ascii="Palatino Linotype" w:hAnsi="Palatino Linotype"/>
          <w:b/>
          <w:sz w:val="23"/>
          <w:szCs w:val="23"/>
        </w:rPr>
      </w:pPr>
      <w:r w:rsidRPr="00A00785">
        <w:rPr>
          <w:rFonts w:ascii="Palatino Linotype" w:hAnsi="Palatino Linotype"/>
          <w:b/>
          <w:sz w:val="23"/>
          <w:szCs w:val="23"/>
        </w:rPr>
        <w:t>Zulema Martínez Sánchez</w:t>
      </w:r>
    </w:p>
    <w:p w:rsidR="00815638" w:rsidRPr="00A00785" w:rsidRDefault="00815638" w:rsidP="007A77C3">
      <w:pPr>
        <w:spacing w:after="0" w:line="240" w:lineRule="auto"/>
        <w:jc w:val="center"/>
        <w:rPr>
          <w:rFonts w:ascii="Palatino Linotype" w:hAnsi="Palatino Linotype"/>
          <w:b/>
          <w:sz w:val="23"/>
          <w:szCs w:val="23"/>
        </w:rPr>
      </w:pPr>
      <w:r w:rsidRPr="00A00785">
        <w:rPr>
          <w:rFonts w:ascii="Palatino Linotype" w:hAnsi="Palatino Linotype"/>
          <w:b/>
          <w:sz w:val="23"/>
          <w:szCs w:val="23"/>
        </w:rPr>
        <w:t>Comisionada Presidenta</w:t>
      </w:r>
    </w:p>
    <w:p w:rsidR="00815638" w:rsidRPr="00A00785" w:rsidRDefault="00045CE5" w:rsidP="007A77C3">
      <w:pPr>
        <w:spacing w:after="0" w:line="240" w:lineRule="auto"/>
        <w:jc w:val="center"/>
        <w:rPr>
          <w:rFonts w:ascii="Palatino Linotype" w:hAnsi="Palatino Linotype"/>
          <w:b/>
          <w:sz w:val="23"/>
          <w:szCs w:val="23"/>
        </w:rPr>
      </w:pPr>
      <w:r>
        <w:rPr>
          <w:rFonts w:ascii="Palatino Linotype" w:hAnsi="Palatino Linotype"/>
          <w:b/>
          <w:sz w:val="23"/>
          <w:szCs w:val="23"/>
        </w:rPr>
        <w:t>(Rúbrica)</w:t>
      </w:r>
    </w:p>
    <w:p w:rsidR="00815638" w:rsidRPr="00A00785" w:rsidRDefault="00815638" w:rsidP="00A00785">
      <w:pPr>
        <w:spacing w:after="0" w:line="276" w:lineRule="auto"/>
        <w:jc w:val="center"/>
        <w:rPr>
          <w:rFonts w:ascii="Palatino Linotype" w:hAnsi="Palatino Linotype"/>
          <w:b/>
          <w:sz w:val="23"/>
          <w:szCs w:val="23"/>
        </w:rPr>
      </w:pPr>
    </w:p>
    <w:p w:rsidR="00815638" w:rsidRPr="00A00785" w:rsidRDefault="00815638" w:rsidP="00A00785">
      <w:pPr>
        <w:spacing w:after="0" w:line="276" w:lineRule="auto"/>
        <w:jc w:val="both"/>
        <w:rPr>
          <w:rFonts w:ascii="Palatino Linotype" w:hAnsi="Palatino Linotype"/>
          <w:sz w:val="23"/>
          <w:szCs w:val="23"/>
        </w:rPr>
      </w:pPr>
    </w:p>
    <w:p w:rsidR="00815638" w:rsidRPr="00A00785" w:rsidRDefault="00815638" w:rsidP="00A00785">
      <w:pPr>
        <w:spacing w:after="0" w:line="276" w:lineRule="auto"/>
        <w:jc w:val="both"/>
        <w:rPr>
          <w:rFonts w:ascii="Palatino Linotype" w:hAnsi="Palatino Linotype"/>
          <w:sz w:val="23"/>
          <w:szCs w:val="23"/>
        </w:rPr>
      </w:pPr>
    </w:p>
    <w:p w:rsidR="002A5ADD" w:rsidRPr="00071CEA" w:rsidRDefault="00A00785" w:rsidP="00071CEA">
      <w:pPr>
        <w:spacing w:after="0" w:line="276" w:lineRule="auto"/>
        <w:jc w:val="both"/>
        <w:rPr>
          <w:rFonts w:ascii="Palatino Linotype" w:hAnsi="Palatino Linotype"/>
          <w:sz w:val="16"/>
          <w:szCs w:val="23"/>
        </w:rPr>
      </w:pPr>
      <w:r>
        <w:rPr>
          <w:rFonts w:ascii="Palatino Linotype" w:hAnsi="Palatino Linotype"/>
          <w:sz w:val="16"/>
          <w:szCs w:val="23"/>
        </w:rPr>
        <w:t>ZMS/OSAM/</w:t>
      </w:r>
      <w:proofErr w:type="spellStart"/>
      <w:r>
        <w:rPr>
          <w:rFonts w:ascii="Palatino Linotype" w:hAnsi="Palatino Linotype"/>
          <w:sz w:val="16"/>
          <w:szCs w:val="23"/>
        </w:rPr>
        <w:t>jasm</w:t>
      </w:r>
      <w:bookmarkStart w:id="0" w:name="_GoBack"/>
      <w:bookmarkEnd w:id="0"/>
      <w:proofErr w:type="spellEnd"/>
    </w:p>
    <w:sectPr w:rsidR="002A5ADD" w:rsidRPr="00071CEA" w:rsidSect="002E001E">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C63" w:rsidRDefault="00925C63" w:rsidP="00AC0505">
      <w:pPr>
        <w:spacing w:after="0" w:line="240" w:lineRule="auto"/>
      </w:pPr>
      <w:r>
        <w:separator/>
      </w:r>
    </w:p>
  </w:endnote>
  <w:endnote w:type="continuationSeparator" w:id="0">
    <w:p w:rsidR="00925C63" w:rsidRDefault="00925C63"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Pr="006C50A8" w:rsidRDefault="00052AAA" w:rsidP="002E001E">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071CEA">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071CEA">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p>
  <w:p w:rsidR="002E001E" w:rsidRDefault="002E001E" w:rsidP="002E001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C63" w:rsidRDefault="00925C63" w:rsidP="00AC0505">
      <w:pPr>
        <w:spacing w:after="0" w:line="240" w:lineRule="auto"/>
      </w:pPr>
      <w:r>
        <w:separator/>
      </w:r>
    </w:p>
  </w:footnote>
  <w:footnote w:type="continuationSeparator" w:id="0">
    <w:p w:rsidR="00925C63" w:rsidRDefault="00925C63"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071CEA" w:rsidP="002E001E">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2E001E" w:rsidRDefault="002E001E" w:rsidP="002E001E">
    <w:pPr>
      <w:pStyle w:val="Encabezado"/>
      <w:jc w:val="right"/>
      <w:rPr>
        <w:rFonts w:ascii="Arial" w:hAnsi="Arial" w:cs="Arial"/>
        <w:sz w:val="20"/>
        <w:szCs w:val="20"/>
      </w:rPr>
    </w:pPr>
  </w:p>
  <w:p w:rsidR="002E001E" w:rsidRDefault="002E001E" w:rsidP="002E001E">
    <w:pPr>
      <w:pStyle w:val="Encabezado"/>
      <w:jc w:val="right"/>
      <w:rPr>
        <w:rFonts w:ascii="Arial" w:hAnsi="Arial" w:cs="Arial"/>
        <w:sz w:val="20"/>
        <w:szCs w:val="20"/>
      </w:rPr>
    </w:pPr>
  </w:p>
  <w:p w:rsidR="002E001E" w:rsidRPr="00563D0F" w:rsidRDefault="00052AAA" w:rsidP="002E001E">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2E001E" w:rsidRPr="00563D0F" w:rsidRDefault="00052AAA" w:rsidP="002E001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3135DD">
      <w:rPr>
        <w:rFonts w:ascii="Palatino Linotype" w:hAnsi="Palatino Linotype" w:cs="Arial"/>
        <w:b/>
        <w:sz w:val="20"/>
        <w:szCs w:val="20"/>
      </w:rPr>
      <w:t>2</w:t>
    </w:r>
    <w:r w:rsidR="0023513C">
      <w:rPr>
        <w:rFonts w:ascii="Palatino Linotype" w:hAnsi="Palatino Linotype" w:cs="Arial"/>
        <w:b/>
        <w:sz w:val="20"/>
        <w:szCs w:val="20"/>
      </w:rPr>
      <w:t>769</w:t>
    </w:r>
    <w:r w:rsidRPr="00897E24">
      <w:rPr>
        <w:rFonts w:ascii="Palatino Linotype" w:hAnsi="Palatino Linotype" w:cs="Arial"/>
        <w:b/>
        <w:sz w:val="20"/>
        <w:szCs w:val="20"/>
      </w:rPr>
      <w:t>/INFOEM/IP/RR/201</w:t>
    </w:r>
    <w:r w:rsidR="00D90C80">
      <w:rPr>
        <w:rFonts w:ascii="Palatino Linotype" w:hAnsi="Palatino Linotype" w:cs="Arial"/>
        <w:b/>
        <w:sz w:val="20"/>
        <w:szCs w:val="20"/>
      </w:rPr>
      <w:t>8</w:t>
    </w:r>
  </w:p>
  <w:p w:rsidR="002E001E" w:rsidRDefault="002E001E" w:rsidP="002E001E">
    <w:pPr>
      <w:pStyle w:val="Encabezado"/>
      <w:jc w:val="right"/>
      <w:rPr>
        <w:rFonts w:ascii="Palatino Linotype" w:hAnsi="Palatino Linotype" w:cs="Arial"/>
        <w:sz w:val="20"/>
        <w:szCs w:val="20"/>
      </w:rPr>
    </w:pPr>
  </w:p>
  <w:p w:rsidR="002E001E" w:rsidRDefault="002E001E" w:rsidP="002E001E">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13ECB"/>
    <w:rsid w:val="00045CE5"/>
    <w:rsid w:val="00052AAA"/>
    <w:rsid w:val="00071CEA"/>
    <w:rsid w:val="0009400C"/>
    <w:rsid w:val="000C6D18"/>
    <w:rsid w:val="00147433"/>
    <w:rsid w:val="001C51EC"/>
    <w:rsid w:val="00212A35"/>
    <w:rsid w:val="0023513C"/>
    <w:rsid w:val="0024254B"/>
    <w:rsid w:val="002562E3"/>
    <w:rsid w:val="002A5ADD"/>
    <w:rsid w:val="002E001E"/>
    <w:rsid w:val="002F722D"/>
    <w:rsid w:val="003135DD"/>
    <w:rsid w:val="00462956"/>
    <w:rsid w:val="00465B59"/>
    <w:rsid w:val="0049125D"/>
    <w:rsid w:val="004C4149"/>
    <w:rsid w:val="00546077"/>
    <w:rsid w:val="005A0F44"/>
    <w:rsid w:val="005E7047"/>
    <w:rsid w:val="0063397A"/>
    <w:rsid w:val="00642404"/>
    <w:rsid w:val="00673A34"/>
    <w:rsid w:val="006A0763"/>
    <w:rsid w:val="007379EC"/>
    <w:rsid w:val="0074096C"/>
    <w:rsid w:val="00786579"/>
    <w:rsid w:val="007A77C3"/>
    <w:rsid w:val="008110A9"/>
    <w:rsid w:val="00815638"/>
    <w:rsid w:val="00925C63"/>
    <w:rsid w:val="009F1838"/>
    <w:rsid w:val="00A00785"/>
    <w:rsid w:val="00A36DBB"/>
    <w:rsid w:val="00A66E63"/>
    <w:rsid w:val="00A84700"/>
    <w:rsid w:val="00AC0505"/>
    <w:rsid w:val="00AC5A00"/>
    <w:rsid w:val="00AE3336"/>
    <w:rsid w:val="00AF2AFE"/>
    <w:rsid w:val="00B007B7"/>
    <w:rsid w:val="00B67F53"/>
    <w:rsid w:val="00B75113"/>
    <w:rsid w:val="00C00A80"/>
    <w:rsid w:val="00C81AF0"/>
    <w:rsid w:val="00D2657A"/>
    <w:rsid w:val="00D74067"/>
    <w:rsid w:val="00D90C80"/>
    <w:rsid w:val="00DB56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885485-FF3C-40D7-A444-2E4667FC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5D"/>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styleId="Textonotapie">
    <w:name w:val="footnote text"/>
    <w:basedOn w:val="Normal"/>
    <w:link w:val="TextonotapieCar"/>
    <w:uiPriority w:val="99"/>
    <w:semiHidden/>
    <w:unhideWhenUsed/>
    <w:rsid w:val="00AE33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3336"/>
    <w:rPr>
      <w:sz w:val="20"/>
      <w:szCs w:val="20"/>
    </w:rPr>
  </w:style>
  <w:style w:type="character" w:styleId="Refdenotaalpie">
    <w:name w:val="footnote reference"/>
    <w:basedOn w:val="Fuentedeprrafopredeter"/>
    <w:uiPriority w:val="99"/>
    <w:semiHidden/>
    <w:unhideWhenUsed/>
    <w:rsid w:val="00AE3336"/>
    <w:rPr>
      <w:vertAlign w:val="superscript"/>
    </w:rPr>
  </w:style>
  <w:style w:type="character" w:styleId="Hipervnculo">
    <w:name w:val="Hyperlink"/>
    <w:basedOn w:val="Fuentedeprrafopredeter"/>
    <w:uiPriority w:val="99"/>
    <w:unhideWhenUsed/>
    <w:rsid w:val="00AF2AFE"/>
    <w:rPr>
      <w:color w:val="0563C1" w:themeColor="hyperlink"/>
      <w:u w:val="single"/>
    </w:rPr>
  </w:style>
  <w:style w:type="paragraph" w:styleId="Sinespaciado">
    <w:name w:val="No Spacing"/>
    <w:uiPriority w:val="1"/>
    <w:qFormat/>
    <w:rsid w:val="00A00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1525</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2018-10-01T22:53:00Z</cp:lastPrinted>
  <dcterms:created xsi:type="dcterms:W3CDTF">2018-11-26T15:47:00Z</dcterms:created>
  <dcterms:modified xsi:type="dcterms:W3CDTF">2019-01-04T19:08:00Z</dcterms:modified>
</cp:coreProperties>
</file>